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4C1032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</w:t>
      </w:r>
      <w:bookmarkStart w:id="0" w:name="_GoBack"/>
      <w:bookmarkEnd w:id="0"/>
      <w:r w:rsidR="00C52B63">
        <w:rPr>
          <w:rFonts w:ascii="Arial Narrow" w:hAnsi="Arial Narrow"/>
          <w:sz w:val="20"/>
          <w:szCs w:val="20"/>
        </w:rPr>
        <w:t>3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0065"/>
      </w:tblGrid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Pełna nazwa oferowanej aparatury medycznej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Producent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Kraj pochodzenia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Dystrybutor/oferent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006E6F" w:rsidRPr="00AC3EE4" w:rsidRDefault="00006E6F" w:rsidP="00006E6F">
      <w:pPr>
        <w:rPr>
          <w:rFonts w:ascii="Arial Narrow" w:hAnsi="Arial Narrow"/>
          <w:b/>
        </w:rPr>
      </w:pPr>
    </w:p>
    <w:tbl>
      <w:tblPr>
        <w:tblW w:w="148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3828"/>
        <w:gridCol w:w="1275"/>
        <w:gridCol w:w="1135"/>
        <w:gridCol w:w="708"/>
        <w:gridCol w:w="850"/>
        <w:gridCol w:w="1276"/>
        <w:gridCol w:w="709"/>
        <w:gridCol w:w="2126"/>
        <w:gridCol w:w="2127"/>
      </w:tblGrid>
      <w:tr w:rsidR="00B22F46" w:rsidRPr="008B1F20" w:rsidTr="000E57E6">
        <w:tc>
          <w:tcPr>
            <w:tcW w:w="772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L.p.</w:t>
            </w:r>
          </w:p>
        </w:tc>
        <w:tc>
          <w:tcPr>
            <w:tcW w:w="3828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PRZEDMIOT ZAMÓWIENIA</w:t>
            </w:r>
          </w:p>
        </w:tc>
        <w:tc>
          <w:tcPr>
            <w:tcW w:w="1275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JEDNOSTKA MIARY</w:t>
            </w:r>
          </w:p>
        </w:tc>
        <w:tc>
          <w:tcPr>
            <w:tcW w:w="1843" w:type="dxa"/>
            <w:gridSpan w:val="2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NETTO/J.M.</w:t>
            </w:r>
          </w:p>
        </w:tc>
        <w:tc>
          <w:tcPr>
            <w:tcW w:w="850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ILOŚĆ</w:t>
            </w:r>
          </w:p>
        </w:tc>
        <w:tc>
          <w:tcPr>
            <w:tcW w:w="1985" w:type="dxa"/>
            <w:gridSpan w:val="2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</w:t>
            </w:r>
          </w:p>
        </w:tc>
        <w:tc>
          <w:tcPr>
            <w:tcW w:w="2126" w:type="dxa"/>
            <w:vAlign w:val="center"/>
          </w:tcPr>
          <w:p w:rsidR="00B22F46" w:rsidRPr="00D918E9" w:rsidRDefault="00B22F4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VAT</w:t>
            </w:r>
          </w:p>
        </w:tc>
        <w:tc>
          <w:tcPr>
            <w:tcW w:w="2127" w:type="dxa"/>
            <w:vAlign w:val="center"/>
          </w:tcPr>
          <w:p w:rsidR="00B22F46" w:rsidRPr="00D918E9" w:rsidRDefault="00B22F46" w:rsidP="005E2DD4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BRUTTO</w:t>
            </w:r>
          </w:p>
        </w:tc>
      </w:tr>
      <w:tr w:rsidR="00B22F46" w:rsidRPr="008B1F20" w:rsidTr="000E57E6">
        <w:tc>
          <w:tcPr>
            <w:tcW w:w="772" w:type="dxa"/>
            <w:shd w:val="clear" w:color="auto" w:fill="B3B3B3"/>
            <w:vAlign w:val="center"/>
          </w:tcPr>
          <w:p w:rsidR="00B22F46" w:rsidRPr="00D918E9" w:rsidRDefault="00B22F46" w:rsidP="000E57E6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B22F46" w:rsidRPr="00D918E9" w:rsidRDefault="0027435C" w:rsidP="00FC2758">
            <w:pPr>
              <w:pStyle w:val="Tekstpodstawowy"/>
              <w:ind w:left="71"/>
              <w:rPr>
                <w:rFonts w:ascii="Arial Narrow" w:hAnsi="Arial Narrow" w:cs="Arial Narrow"/>
                <w:sz w:val="20"/>
              </w:rPr>
            </w:pPr>
            <w:r w:rsidRPr="0027435C">
              <w:rPr>
                <w:rFonts w:ascii="Arial Narrow" w:hAnsi="Arial Narrow" w:cs="Arial Narrow"/>
                <w:sz w:val="20"/>
              </w:rPr>
              <w:t xml:space="preserve">Kardiomonitor stacjonarny lub </w:t>
            </w:r>
            <w:proofErr w:type="spellStart"/>
            <w:r w:rsidRPr="0027435C">
              <w:rPr>
                <w:rFonts w:ascii="Arial Narrow" w:hAnsi="Arial Narrow" w:cs="Arial Narrow"/>
                <w:sz w:val="20"/>
              </w:rPr>
              <w:t>stacjonarno</w:t>
            </w:r>
            <w:proofErr w:type="spellEnd"/>
            <w:r w:rsidRPr="0027435C">
              <w:rPr>
                <w:rFonts w:ascii="Arial Narrow" w:hAnsi="Arial Narrow" w:cs="Arial Narrow"/>
                <w:sz w:val="20"/>
              </w:rPr>
              <w:t>/transportowy, kompaktowo - modułowy. Moduły w postaci kostek pomiarowych wkładanych do urządzenia. Kardiomonitor  przeznaczony dla dzieci wraz z akcesoriami. Kardiomonitory kompatybilne z posiadanym przez Zamawiającego systemem S/5.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22F46" w:rsidRPr="00D918E9" w:rsidRDefault="000E57E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Szt</w:t>
            </w:r>
            <w:r w:rsidR="00B22F46">
              <w:rPr>
                <w:rFonts w:ascii="Arial Narrow" w:hAnsi="Arial Narrow" w:cs="Arial Narrow"/>
                <w:sz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22F46" w:rsidRPr="00D918E9" w:rsidRDefault="0027435C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22F46" w:rsidRPr="00D918E9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5E2DD4" w:rsidRPr="008B1F20" w:rsidTr="000E57E6">
        <w:tc>
          <w:tcPr>
            <w:tcW w:w="14806" w:type="dxa"/>
            <w:gridSpan w:val="10"/>
            <w:shd w:val="clear" w:color="auto" w:fill="FFFFFF"/>
            <w:vAlign w:val="center"/>
          </w:tcPr>
          <w:p w:rsidR="005E2DD4" w:rsidRPr="00D918E9" w:rsidRDefault="005E2DD4" w:rsidP="0008034F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Część II  -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ZESTAWIENIE PARAMETRÓW TECHNICZNYCH I WARUNKI GWARANCJI</w:t>
            </w:r>
          </w:p>
        </w:tc>
      </w:tr>
      <w:tr w:rsidR="005E2DD4" w:rsidRPr="008B1F20" w:rsidTr="000E57E6">
        <w:tc>
          <w:tcPr>
            <w:tcW w:w="772" w:type="dxa"/>
            <w:shd w:val="clear" w:color="auto" w:fill="B3B3B3"/>
            <w:vAlign w:val="center"/>
          </w:tcPr>
          <w:p w:rsidR="005E2DD4" w:rsidRPr="00D918E9" w:rsidRDefault="005E2DD4" w:rsidP="0008034F">
            <w:pPr>
              <w:pStyle w:val="Tekstpodstawowy"/>
              <w:ind w:left="277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proofErr w:type="spellStart"/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Lp</w:t>
            </w:r>
            <w:proofErr w:type="spellEnd"/>
          </w:p>
        </w:tc>
        <w:tc>
          <w:tcPr>
            <w:tcW w:w="3828" w:type="dxa"/>
            <w:vAlign w:val="center"/>
          </w:tcPr>
          <w:p w:rsidR="005E2DD4" w:rsidRPr="00D918E9" w:rsidRDefault="005E2DD4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PARAMETR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PARAMETR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OCZEKIWANY</w:t>
            </w:r>
          </w:p>
        </w:tc>
        <w:tc>
          <w:tcPr>
            <w:tcW w:w="2834" w:type="dxa"/>
            <w:gridSpan w:val="3"/>
            <w:shd w:val="clear" w:color="auto" w:fill="FFFFFF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PARAMETR OFEROWANY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ZASADY DOKONYWANIA OCENY</w:t>
            </w:r>
          </w:p>
        </w:tc>
      </w:tr>
      <w:tr w:rsidR="005E2DD4" w:rsidRPr="008B1F20" w:rsidTr="000E57E6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27435C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Kardiomonitor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8B1F20" w:rsidRDefault="005E2DD4" w:rsidP="00006E6F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8B1F20" w:rsidRDefault="005E2DD4" w:rsidP="00006E6F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5E2DD4" w:rsidRPr="008B1F20" w:rsidRDefault="005E2DD4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E57E6" w:rsidRPr="00EF3F81" w:rsidTr="006726D5">
        <w:tc>
          <w:tcPr>
            <w:tcW w:w="772" w:type="dxa"/>
            <w:shd w:val="clear" w:color="auto" w:fill="B3B3B3"/>
            <w:vAlign w:val="center"/>
          </w:tcPr>
          <w:p w:rsidR="000E57E6" w:rsidRPr="008B1F20" w:rsidRDefault="000E57E6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E57E6" w:rsidRPr="00EF3F81" w:rsidRDefault="0027435C" w:rsidP="00EF3F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435C">
              <w:rPr>
                <w:rFonts w:ascii="Arial Narrow" w:hAnsi="Arial Narrow"/>
                <w:bCs/>
                <w:sz w:val="20"/>
                <w:szCs w:val="20"/>
              </w:rPr>
              <w:t xml:space="preserve">Kardiomonitor stacjonarny lub </w:t>
            </w:r>
            <w:proofErr w:type="spellStart"/>
            <w:r w:rsidRPr="0027435C">
              <w:rPr>
                <w:rFonts w:ascii="Arial Narrow" w:hAnsi="Arial Narrow"/>
                <w:bCs/>
                <w:sz w:val="20"/>
                <w:szCs w:val="20"/>
              </w:rPr>
              <w:t>stacjonarno</w:t>
            </w:r>
            <w:proofErr w:type="spellEnd"/>
            <w:r w:rsidRPr="0027435C">
              <w:rPr>
                <w:rFonts w:ascii="Arial Narrow" w:hAnsi="Arial Narrow"/>
                <w:bCs/>
                <w:sz w:val="20"/>
                <w:szCs w:val="20"/>
              </w:rPr>
              <w:t>/transportowy, kompaktowo - modułowy. Moduły w postaci kostek pomiarowych wkładanych do urządzenia.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57E6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vAlign w:val="center"/>
          </w:tcPr>
          <w:p w:rsidR="000E57E6" w:rsidRPr="006726D5" w:rsidRDefault="000E57E6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0E57E6" w:rsidRPr="006726D5" w:rsidRDefault="000E57E6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27435C">
        <w:trPr>
          <w:trHeight w:val="117"/>
        </w:trPr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27435C" w:rsidRDefault="0027435C" w:rsidP="00EF3F81">
            <w:pPr>
              <w:shd w:val="clear" w:color="auto" w:fill="FFFFFF"/>
              <w:snapToGrid w:val="0"/>
              <w:spacing w:after="0" w:line="240" w:lineRule="auto"/>
              <w:ind w:left="5" w:right="16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27435C">
              <w:rPr>
                <w:rFonts w:ascii="Arial Narrow" w:hAnsi="Arial Narrow"/>
                <w:bCs/>
                <w:sz w:val="20"/>
                <w:szCs w:val="20"/>
              </w:rPr>
              <w:t>Kompatybilny z posiadanym przez Zamawiającego systemem S/5.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27435C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7435C" w:rsidRPr="0027435C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Ekran kardiomonitora LCD TFT:</w:t>
            </w:r>
          </w:p>
          <w:p w:rsidR="0027435C" w:rsidRPr="0027435C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Przekątna &gt;= 12”</w:t>
            </w:r>
          </w:p>
          <w:p w:rsidR="0027435C" w:rsidRPr="0027435C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Rozdzielczość &gt;= 800 x 600 pikseli</w:t>
            </w:r>
          </w:p>
          <w:p w:rsidR="0027435C" w:rsidRPr="0027435C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Prezentacja nie mniej niż 6 krzywych jednocześnie</w:t>
            </w:r>
          </w:p>
          <w:p w:rsidR="0027435C" w:rsidRPr="0027435C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Prezentacja nie mniej niż 4 pól numerycznych jednocześnie</w:t>
            </w:r>
          </w:p>
          <w:p w:rsidR="006D3E09" w:rsidRPr="00EF3F81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Możliwość regulacji jasności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6726D5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Parametry mierzone/analizowane: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lastRenderedPageBreak/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EKG z możliwością wyboru liczby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odprowadzeń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: 3 odprowadzenia, lub 7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odprowadzeń</w:t>
            </w:r>
            <w:proofErr w:type="spellEnd"/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Analiza częstości akcji serca i podstawowa analiza arytmii – wykrywanie minimum 5 zaburzeń rytmu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Analiza odcinka ST we wszystkich monitorowanych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odprowadzeniach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– zakres analizy nie mniejszy niż od -9,0 do +9,0 mm, z możliwością ręcznej regulacji położenia odcinków pomiarowych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HR w zakresie nie mniejszym niż 30 – 250 uderzeń na minutę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Respiracja – pomiar metodą impedancyjną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Zakres pomiaru respiracji nie mniejszy niż 4-120 oddechów/min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Prezentacja krzywej oddechowej i respiracji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Saturacja w technologii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Masimo</w:t>
            </w:r>
            <w:proofErr w:type="spellEnd"/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zakres od 1-100%.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Prezentacja krzywej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pletyzmograficznej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i %SpO2.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Pomiar pulsu w zakresie 30-240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bpm</w:t>
            </w:r>
            <w:proofErr w:type="spellEnd"/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Modulacja dźwięku przy zmianie wartości %SpO2.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W komplecie przewód interfejsowy i komplet czujników neonatologicznych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Pomiar NIBP metodą oscylometryczną, technika dwutubowa, w zakresie min. 10-290 mmHg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Pomiar ręczny i automatyczny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Pomiar automatyczny z dowolnym interwałem w zakresie min. 1 - 120 min, z liczbą powtórzeń 1-25 lub w trybie ciągłym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Możliwość programowania serii cyklów o różnym interwale np. 2 cykle po 15 min., po czym 2 cykle po 30 min.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lastRenderedPageBreak/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Prezentacja wartości: skurczowej, rozkurczowej oraz średniej 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W komplecie przewód i zestaw mankietów dla noworodków.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Pomiar ciśnienia krwawego – min. 2 kanały</w:t>
            </w:r>
          </w:p>
          <w:p w:rsidR="006D3E09" w:rsidRPr="00EF3F81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Pomiar temperatury ciągłej (powierzchniowej i  głębokiej) – w komplecie dwa czujniki</w:t>
            </w:r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27435C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Możliwość rozbudowy o: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pomiar gazów anestetycznych -automatyczna identyfikacja środków anestetycznych (pięć środków anestetycznych i dwie spośród mieszanin: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halotan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enfluran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izofluran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sewofluran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i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desfluran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). Wyświetlanie MAC (minimalne stężenie pęcherzykowe) i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MACage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- z kompensacją dla wieku pacjenta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co najmniej 3 kanałowy rejestrator termiczny, wbudowany w monitor - wydruk możliwy podczas transportu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tradycyjny moduł CO2 pracujący w technologii pomiaru w strumieniu bocznym – moduł wymienny między monitorami</w:t>
            </w:r>
          </w:p>
          <w:p w:rsidR="006D3E09" w:rsidRPr="00EF3F81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moduł pomiaru głębokości sedacji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Brak możliwości rozbudowy – 0 pkt.</w:t>
            </w:r>
          </w:p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Możliwość rozbudowy o 1 funkcję – 5 pkt.</w:t>
            </w:r>
          </w:p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Możliwość rozbudowy o 2 funkcje – 10 pkt.</w:t>
            </w:r>
          </w:p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Możliwość rozbudowy o 3 funkcje – 15 pkt</w:t>
            </w:r>
          </w:p>
          <w:p w:rsidR="006D3E09" w:rsidRPr="006726D5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Możliwość rozbudowy o 4 funkcje – 20 pkt</w:t>
            </w:r>
          </w:p>
        </w:tc>
      </w:tr>
      <w:tr w:rsidR="006D3E09" w:rsidRPr="00EF3F81" w:rsidTr="0027435C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Konstrukcja i rozwiązania użytkowe: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Zasilanie elektryczne: 230V/50Hz oraz alternatywnie z akumulatora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Czas pracy monitora przy zasilaniu z akumulatora &gt;=120 min.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Wskaźnik naładowania akumulatora – na ekranie i oddzielnie na akumulatorze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Klawisze sprzętowe umieszczone pod ekranem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Możliwość zaprogramowania przez personel min. 5 różnych konfiguracji monitora (ustawiania ekranu i granic alarmowych).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Porty pomiarowe kodowane za pomocą kolorów - ułatwienia identyfikacji odpowiednich akcesoriów.</w:t>
            </w:r>
          </w:p>
          <w:p w:rsidR="006D3E09" w:rsidRPr="00EF3F81" w:rsidRDefault="0027435C" w:rsidP="0089459D">
            <w:pPr>
              <w:shd w:val="clear" w:color="auto" w:fill="FFFFFF"/>
              <w:snapToGrid w:val="0"/>
              <w:spacing w:after="0" w:line="240" w:lineRule="auto"/>
              <w:ind w:left="72" w:right="160" w:hanging="72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Możliwość pracy w sieci centralnego monitorowania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Brak zasilania akumulatorowego – 0 pkt.</w:t>
            </w:r>
          </w:p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Czas pracy przy zasilaniu z akumulatora 120 – 150 min – 5 pkt.</w:t>
            </w:r>
          </w:p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Czas pracy przy zasilaniu z akumulatora powyżej 150 min – 10 pkt.</w:t>
            </w:r>
          </w:p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89459D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Alarmy: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Wskaźnik alarmu na obudowie, w miejscu gwarantującym łatwą widzialność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Klasyfikacja alarmu do jednej z trzech kategorii, w zależności od jego priorytetu, rozróżniane kolorem wskaźnika  i tonem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Co najmniej cztery opcje schematów alarmowych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Podtrzymywanie na ekranie komunikatu alarmowego nawet po ustąpieniu przyczyny wyzwolenia alarmu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Możliwość ustawienia granic alarmowych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Możliwość wyłączenia alarmów poszczególnych parametrów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Trendy graficzne i tabelaryczne wszystkich parametrów min. 72 godzinne (także trendy ST), rozdzielczość min. 1 min.</w:t>
            </w:r>
          </w:p>
          <w:p w:rsidR="006D3E09" w:rsidRPr="00EF3F81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 xml:space="preserve">Możliwość wyświetlanie </w:t>
            </w:r>
            <w:proofErr w:type="spellStart"/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minitrendów</w:t>
            </w:r>
            <w:proofErr w:type="spellEnd"/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(wraz z pozostałymi mierzonymi parametrami i krzywymi) długości min. 30 min.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89459D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59D">
              <w:rPr>
                <w:rFonts w:ascii="Arial Narrow" w:hAnsi="Arial Narrow" w:cs="Arial Narrow"/>
                <w:sz w:val="20"/>
                <w:szCs w:val="20"/>
              </w:rPr>
              <w:t>Opisać miejsce umieszczenia wskaźnika alarmu, podać liczbę schematów alarmowych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89459D" w:rsidRPr="0089459D" w:rsidRDefault="0089459D" w:rsidP="00894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459D">
              <w:rPr>
                <w:rFonts w:ascii="Arial Narrow" w:hAnsi="Arial Narrow" w:cs="Arial Narrow"/>
                <w:sz w:val="20"/>
                <w:szCs w:val="20"/>
              </w:rPr>
              <w:t>3 schematy alarmowe – 0 pkt.</w:t>
            </w:r>
          </w:p>
          <w:p w:rsidR="006D3E09" w:rsidRPr="006726D5" w:rsidRDefault="0089459D" w:rsidP="00894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459D">
              <w:rPr>
                <w:rFonts w:ascii="Arial Narrow" w:hAnsi="Arial Narrow" w:cs="Arial Narrow"/>
                <w:sz w:val="20"/>
                <w:szCs w:val="20"/>
              </w:rPr>
              <w:t>Więcej niż 3 schematy alarmowe – 5 pkt.</w:t>
            </w:r>
          </w:p>
        </w:tc>
      </w:tr>
      <w:tr w:rsidR="005E2DD4" w:rsidRPr="00EF3F81" w:rsidTr="006726D5"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F3F81" w:rsidRDefault="00E37048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Gwarancja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EF3F81" w:rsidRDefault="005E2DD4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6726D5"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Okres gwarancji oraz współpracujących urządzeń  [liczba miesięcy]</w:t>
            </w:r>
          </w:p>
          <w:p w:rsidR="005E2DD4" w:rsidRPr="00EF3F81" w:rsidRDefault="00E37048" w:rsidP="00EF3F8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UWAGA – należy podać pełną liczbę miesięcy. Wartości ułamkowe będą przy ocenie zaokrąglane w dół. Zamawiający zastrzega, że okres rękojmi musi być równy okresowi gwarancji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EF3F81" w:rsidRDefault="00E37048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sz w:val="20"/>
                <w:szCs w:val="20"/>
                <w:lang w:eastAsia="ja-JP"/>
              </w:rPr>
              <w:t>Min. 12 miesięcy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12 miesięcy – 0 pkt.</w:t>
            </w:r>
          </w:p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24 miesiące – 10 pkt.</w:t>
            </w:r>
          </w:p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36 miesięcy – 15 pkt.</w:t>
            </w:r>
          </w:p>
          <w:p w:rsidR="005E2DD4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&gt;36 miesięcy – 25 pkt.</w:t>
            </w:r>
          </w:p>
        </w:tc>
      </w:tr>
      <w:tr w:rsidR="00E37048" w:rsidRPr="00EF3F81" w:rsidTr="006726D5">
        <w:tc>
          <w:tcPr>
            <w:tcW w:w="772" w:type="dxa"/>
            <w:shd w:val="clear" w:color="auto" w:fill="B3B3B3"/>
            <w:vAlign w:val="center"/>
          </w:tcPr>
          <w:p w:rsidR="00E37048" w:rsidRPr="008B1F20" w:rsidRDefault="00E37048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Gwarancja produkcji części zamiennych [liczba lat]</w:t>
            </w:r>
          </w:p>
        </w:tc>
        <w:tc>
          <w:tcPr>
            <w:tcW w:w="2410" w:type="dxa"/>
            <w:gridSpan w:val="2"/>
            <w:vAlign w:val="center"/>
          </w:tcPr>
          <w:p w:rsidR="00E37048" w:rsidRPr="00EF3F81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&gt;= 8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37048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37048" w:rsidRPr="00EF3F81" w:rsidTr="006726D5">
        <w:tc>
          <w:tcPr>
            <w:tcW w:w="772" w:type="dxa"/>
            <w:shd w:val="clear" w:color="auto" w:fill="B3B3B3"/>
            <w:vAlign w:val="center"/>
          </w:tcPr>
          <w:p w:rsidR="00E37048" w:rsidRPr="008B1F20" w:rsidRDefault="00E37048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Przedłużenie okresu gwarancji o każdy dzień trwającej naprawy</w:t>
            </w:r>
          </w:p>
        </w:tc>
        <w:tc>
          <w:tcPr>
            <w:tcW w:w="2410" w:type="dxa"/>
            <w:gridSpan w:val="2"/>
            <w:vAlign w:val="center"/>
          </w:tcPr>
          <w:p w:rsidR="00E37048" w:rsidRPr="00EF3F81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6726D5"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F3F81" w:rsidRDefault="00C16115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Warunki serwisu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EF3F81" w:rsidRDefault="005E2DD4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 przegląd – 5 pkt. ,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 przeglądy - 1 pkt.,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 2 przeglądów – 0 pkt.</w:t>
            </w: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Wszystkie czynności serwisowe, w tym przeglądy konserwacyjne, w okresie gwarancji - bezpłatne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Czas reakcji (dotyczy także reakcji zdalnej): „przyjęte zgłoszenie – podjęta naprawa” =&lt;72 [godz.]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Wymiana podzespołu na nowy po pierwszej nieskutecznej próbie jego naprawy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Zakończenie działań serwisowych – najpóźniej w czasie nie dłuższym niż 3 dni roboczych od dnia zgłoszenia awarii, a w przypadku konieczności importu części zamiennych, nie dłuższym niż 7 dni roboczych od dnia zgłoszenia awarii.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 okresie pogwarancyjnym - możliwość korzystania z innego serwisu niż autoryzowany serwis producenta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ak/Nie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Jeżeli tak – 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Tak – 10 pkt.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Nie – 0 pkt.</w:t>
            </w: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 xml:space="preserve">Szkolenia i inne czynności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E8567F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Transport krajowy i zagraniczny wraz z ubezpieczeniem, wszelkie opłaty celne, skarbowe</w:t>
            </w:r>
            <w:r w:rsidRPr="00EF3F81">
              <w:rPr>
                <w:rFonts w:ascii="Arial Narrow" w:hAnsi="Arial Narrow"/>
                <w:sz w:val="20"/>
                <w:szCs w:val="20"/>
              </w:rPr>
              <w:t xml:space="preserve"> oraz inne opłaty pośrednie po stronie wykonawcy (dotyczy także usług gwarancyjnych)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EA2B19" w:rsidRDefault="006726D5" w:rsidP="006726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F3F81">
              <w:rPr>
                <w:rFonts w:ascii="Arial Narrow" w:hAnsi="Arial Narrow"/>
                <w:b/>
                <w:sz w:val="20"/>
                <w:szCs w:val="20"/>
              </w:rPr>
              <w:t>Dokumenty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EF3F81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EF3F81">
              <w:rPr>
                <w:rFonts w:ascii="Arial Narrow" w:hAnsi="Arial Narrow"/>
                <w:sz w:val="20"/>
                <w:szCs w:val="20"/>
              </w:rPr>
              <w:t>. Dz. U.  2017, poz.211),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5300B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5300B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bCs/>
          <w:sz w:val="18"/>
          <w:szCs w:val="18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5E2DD4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gwarantuje niniejszym, że sprzęt jest fabrycznie nowy (rok produkcji 201</w:t>
      </w:r>
      <w:r w:rsidR="00662E28">
        <w:rPr>
          <w:rFonts w:ascii="Tahoma" w:hAnsi="Tahoma" w:cs="Tahoma"/>
          <w:sz w:val="18"/>
          <w:szCs w:val="18"/>
        </w:rPr>
        <w:t>8</w:t>
      </w:r>
      <w:r w:rsidRPr="005E2DD4">
        <w:rPr>
          <w:rFonts w:ascii="Tahoma" w:hAnsi="Tahoma" w:cs="Tahoma"/>
          <w:sz w:val="18"/>
          <w:szCs w:val="18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E2DD4">
        <w:rPr>
          <w:rFonts w:ascii="Tahoma" w:hAnsi="Tahoma" w:cs="Tahoma"/>
          <w:sz w:val="18"/>
          <w:szCs w:val="18"/>
        </w:rPr>
        <w:t>rekondycjonowanym</w:t>
      </w:r>
      <w:proofErr w:type="spellEnd"/>
      <w:r w:rsidRPr="005E2DD4">
        <w:rPr>
          <w:rFonts w:ascii="Tahoma" w:hAnsi="Tahoma" w:cs="Tahoma"/>
          <w:sz w:val="18"/>
          <w:szCs w:val="18"/>
        </w:rPr>
        <w:t>, powystawowym i nie był wykorzystywany wcześniej przez innego użytkownika.</w:t>
      </w:r>
    </w:p>
    <w:p w:rsidR="002A39CD" w:rsidRPr="005E2DD4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 przypadku jakichkolwiek wątpliwości, Zamawiający zastrzega sobie prawo zażądania oświadczenia potwierdzającego oferowany parametr, wystawionego przez producenta i poświadczonego przez osoby uprawnione do reprezentowania firmy (w przypadku producentów zagranicznych – wymagane będzie tłumaczenie przysięgłe).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składając ofertę, dostarczając urządzenie, przekazując i wystawiając fakturę powinien stosować nazewnictwo wedle nomenklatury Zamawiającego.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Zamawiający zwraca się z uprzejmą prośbą aby oferta w części zawierającej dane tabelaryczne (parametry techniczne i eksploatacyjne oraz warunki gwarancji i serwisu) była dostarczona również w edytowalnej wersji cyfrowej co ułatwi sporządzenie arkusza porównawczego ofert.</w:t>
      </w:r>
    </w:p>
    <w:p w:rsidR="002A39CD" w:rsidRPr="005E2DD4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Akcesoria ujęte w niniejszej specyfikacji muszą zapewniać kompatybilność z systemem rezonansu magnetycznego.</w:t>
      </w:r>
    </w:p>
    <w:p w:rsidR="00022160" w:rsidRDefault="00022160"/>
    <w:p w:rsidR="0089459D" w:rsidRDefault="0089459D"/>
    <w:p w:rsidR="00022160" w:rsidRPr="00022160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2160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Default="00022160" w:rsidP="00022160">
      <w:pPr>
        <w:ind w:firstLine="708"/>
      </w:pPr>
      <w:r>
        <w:t>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/pieczęć i podpis osoby umocowanej/</w:t>
      </w:r>
    </w:p>
    <w:sectPr w:rsidR="00022160" w:rsidSect="00022160">
      <w:headerReference w:type="default" r:id="rId7"/>
      <w:footerReference w:type="default" r:id="rId8"/>
      <w:pgSz w:w="16838" w:h="11906" w:orient="landscape"/>
      <w:pgMar w:top="1417" w:right="1417" w:bottom="141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4C1032">
      <w:rPr>
        <w:noProof/>
        <w:sz w:val="16"/>
        <w:szCs w:val="16"/>
      </w:rPr>
      <w:t>2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BC4FC6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174115" cy="51816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1C50AF9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0E279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7F54"/>
    <w:multiLevelType w:val="hybridMultilevel"/>
    <w:tmpl w:val="30BC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E16311"/>
    <w:multiLevelType w:val="hybridMultilevel"/>
    <w:tmpl w:val="93944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3E910A0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884CE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BA6474"/>
    <w:multiLevelType w:val="hybridMultilevel"/>
    <w:tmpl w:val="0CBE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048135C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81A"/>
    <w:multiLevelType w:val="hybridMultilevel"/>
    <w:tmpl w:val="EE188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F2125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D731E"/>
    <w:multiLevelType w:val="hybridMultilevel"/>
    <w:tmpl w:val="192CE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D484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A6068E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2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93730EB"/>
    <w:multiLevelType w:val="hybridMultilevel"/>
    <w:tmpl w:val="C7EAD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E23A5B"/>
    <w:multiLevelType w:val="hybridMultilevel"/>
    <w:tmpl w:val="CBE24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6060D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C3439DA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2547C8"/>
    <w:multiLevelType w:val="hybridMultilevel"/>
    <w:tmpl w:val="1F346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8173BF"/>
    <w:multiLevelType w:val="hybridMultilevel"/>
    <w:tmpl w:val="9218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8161F9"/>
    <w:multiLevelType w:val="hybridMultilevel"/>
    <w:tmpl w:val="C30C2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1C40B9"/>
    <w:multiLevelType w:val="hybridMultilevel"/>
    <w:tmpl w:val="39945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05085"/>
    <w:multiLevelType w:val="hybridMultilevel"/>
    <w:tmpl w:val="1A8CD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6471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9736E2"/>
    <w:multiLevelType w:val="hybridMultilevel"/>
    <w:tmpl w:val="61880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DD4C8B"/>
    <w:multiLevelType w:val="hybridMultilevel"/>
    <w:tmpl w:val="881E5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0D6525"/>
    <w:multiLevelType w:val="hybridMultilevel"/>
    <w:tmpl w:val="1996F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43277D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C05243"/>
    <w:multiLevelType w:val="hybridMultilevel"/>
    <w:tmpl w:val="26CCB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D41DB8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2953F4"/>
    <w:multiLevelType w:val="hybridMultilevel"/>
    <w:tmpl w:val="F296F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533361"/>
    <w:multiLevelType w:val="hybridMultilevel"/>
    <w:tmpl w:val="3DCE5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CC456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1C7145"/>
    <w:multiLevelType w:val="hybridMultilevel"/>
    <w:tmpl w:val="1C9AA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37789"/>
    <w:multiLevelType w:val="hybridMultilevel"/>
    <w:tmpl w:val="1C241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7" w15:restartNumberingAfterBreak="0">
    <w:nsid w:val="789B280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9F21E20"/>
    <w:multiLevelType w:val="hybridMultilevel"/>
    <w:tmpl w:val="D1486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7C74DB"/>
    <w:multiLevelType w:val="hybridMultilevel"/>
    <w:tmpl w:val="931AE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21"/>
  </w:num>
  <w:num w:numId="4">
    <w:abstractNumId w:val="22"/>
  </w:num>
  <w:num w:numId="5">
    <w:abstractNumId w:val="20"/>
  </w:num>
  <w:num w:numId="6">
    <w:abstractNumId w:val="8"/>
  </w:num>
  <w:num w:numId="7">
    <w:abstractNumId w:val="2"/>
  </w:num>
  <w:num w:numId="8">
    <w:abstractNumId w:val="17"/>
  </w:num>
  <w:num w:numId="9">
    <w:abstractNumId w:val="49"/>
  </w:num>
  <w:num w:numId="10">
    <w:abstractNumId w:val="11"/>
  </w:num>
  <w:num w:numId="11">
    <w:abstractNumId w:val="44"/>
  </w:num>
  <w:num w:numId="12">
    <w:abstractNumId w:val="16"/>
  </w:num>
  <w:num w:numId="13">
    <w:abstractNumId w:val="32"/>
  </w:num>
  <w:num w:numId="14">
    <w:abstractNumId w:val="7"/>
  </w:num>
  <w:num w:numId="15">
    <w:abstractNumId w:val="13"/>
  </w:num>
  <w:num w:numId="16">
    <w:abstractNumId w:val="45"/>
  </w:num>
  <w:num w:numId="17">
    <w:abstractNumId w:val="39"/>
  </w:num>
  <w:num w:numId="18">
    <w:abstractNumId w:val="15"/>
  </w:num>
  <w:num w:numId="19">
    <w:abstractNumId w:val="6"/>
  </w:num>
  <w:num w:numId="20">
    <w:abstractNumId w:val="24"/>
  </w:num>
  <w:num w:numId="21">
    <w:abstractNumId w:val="1"/>
  </w:num>
  <w:num w:numId="22">
    <w:abstractNumId w:val="26"/>
  </w:num>
  <w:num w:numId="23">
    <w:abstractNumId w:val="9"/>
  </w:num>
  <w:num w:numId="24">
    <w:abstractNumId w:val="41"/>
  </w:num>
  <w:num w:numId="25">
    <w:abstractNumId w:val="37"/>
  </w:num>
  <w:num w:numId="26">
    <w:abstractNumId w:val="19"/>
  </w:num>
  <w:num w:numId="27">
    <w:abstractNumId w:val="27"/>
  </w:num>
  <w:num w:numId="28">
    <w:abstractNumId w:val="18"/>
  </w:num>
  <w:num w:numId="29">
    <w:abstractNumId w:val="33"/>
  </w:num>
  <w:num w:numId="30">
    <w:abstractNumId w:val="3"/>
  </w:num>
  <w:num w:numId="31">
    <w:abstractNumId w:val="10"/>
  </w:num>
  <w:num w:numId="32">
    <w:abstractNumId w:val="43"/>
  </w:num>
  <w:num w:numId="33">
    <w:abstractNumId w:val="47"/>
  </w:num>
  <w:num w:numId="34">
    <w:abstractNumId w:val="4"/>
  </w:num>
  <w:num w:numId="35">
    <w:abstractNumId w:val="48"/>
  </w:num>
  <w:num w:numId="36">
    <w:abstractNumId w:val="42"/>
  </w:num>
  <w:num w:numId="37">
    <w:abstractNumId w:val="31"/>
  </w:num>
  <w:num w:numId="38">
    <w:abstractNumId w:val="34"/>
  </w:num>
  <w:num w:numId="39">
    <w:abstractNumId w:val="28"/>
  </w:num>
  <w:num w:numId="40">
    <w:abstractNumId w:val="23"/>
  </w:num>
  <w:num w:numId="41">
    <w:abstractNumId w:val="38"/>
  </w:num>
  <w:num w:numId="42">
    <w:abstractNumId w:val="30"/>
  </w:num>
  <w:num w:numId="43">
    <w:abstractNumId w:val="35"/>
  </w:num>
  <w:num w:numId="44">
    <w:abstractNumId w:val="14"/>
  </w:num>
  <w:num w:numId="45">
    <w:abstractNumId w:val="5"/>
  </w:num>
  <w:num w:numId="46">
    <w:abstractNumId w:val="40"/>
  </w:num>
  <w:num w:numId="47">
    <w:abstractNumId w:val="36"/>
  </w:num>
  <w:num w:numId="48">
    <w:abstractNumId w:val="25"/>
  </w:num>
  <w:num w:numId="4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8034F"/>
    <w:rsid w:val="000B3DBB"/>
    <w:rsid w:val="000E57E6"/>
    <w:rsid w:val="00146E86"/>
    <w:rsid w:val="001F68B1"/>
    <w:rsid w:val="0027435C"/>
    <w:rsid w:val="002A39CD"/>
    <w:rsid w:val="002C57FB"/>
    <w:rsid w:val="003C4356"/>
    <w:rsid w:val="003D57E1"/>
    <w:rsid w:val="00453CC0"/>
    <w:rsid w:val="004C1032"/>
    <w:rsid w:val="004C4B37"/>
    <w:rsid w:val="004F77F7"/>
    <w:rsid w:val="005E2DD4"/>
    <w:rsid w:val="00607361"/>
    <w:rsid w:val="00662E28"/>
    <w:rsid w:val="006726D5"/>
    <w:rsid w:val="006D3E09"/>
    <w:rsid w:val="008728BD"/>
    <w:rsid w:val="0089459D"/>
    <w:rsid w:val="0099730A"/>
    <w:rsid w:val="00AC761A"/>
    <w:rsid w:val="00B14F96"/>
    <w:rsid w:val="00B22F46"/>
    <w:rsid w:val="00B56256"/>
    <w:rsid w:val="00BC4FC6"/>
    <w:rsid w:val="00BD0C93"/>
    <w:rsid w:val="00C16115"/>
    <w:rsid w:val="00C52B63"/>
    <w:rsid w:val="00CB4288"/>
    <w:rsid w:val="00DA5708"/>
    <w:rsid w:val="00E37048"/>
    <w:rsid w:val="00EA2B19"/>
    <w:rsid w:val="00EF3F81"/>
    <w:rsid w:val="00F11794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3</cp:revision>
  <dcterms:created xsi:type="dcterms:W3CDTF">2018-01-04T11:29:00Z</dcterms:created>
  <dcterms:modified xsi:type="dcterms:W3CDTF">2018-01-04T13:09:00Z</dcterms:modified>
</cp:coreProperties>
</file>