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3/1  SIWZ     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KALKULACJA CENOWA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OPIS PRZEDMIOTU ZAMÓWIENIA- ZADANIE 1 </w:t>
      </w:r>
    </w:p>
    <w:p w:rsidR="003E3B28" w:rsidRDefault="003E3B28" w:rsidP="003E3B28">
      <w:pPr>
        <w:pStyle w:val="Tekstpodstawowy"/>
        <w:ind w:left="0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ZAMAWIAJĄCY: Uniwersytecki Szpital Dziecięcy w Krakowie, ul. Wielicka 265, 30-663 Kraków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Nr pos</w:t>
      </w:r>
      <w:r>
        <w:rPr>
          <w:rFonts w:ascii="Arial" w:hAnsi="Arial" w:cs="Arial"/>
        </w:rPr>
        <w:t>tepowania: EZP-271-2-111/PN/2019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</w:p>
    <w:p w:rsidR="003E3B28" w:rsidRDefault="003E3B28" w:rsidP="003E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4"/>
        <w:gridCol w:w="16"/>
        <w:gridCol w:w="3385"/>
        <w:gridCol w:w="992"/>
        <w:gridCol w:w="993"/>
        <w:gridCol w:w="265"/>
        <w:gridCol w:w="851"/>
        <w:gridCol w:w="18"/>
        <w:gridCol w:w="142"/>
        <w:gridCol w:w="566"/>
        <w:gridCol w:w="993"/>
        <w:gridCol w:w="1257"/>
        <w:gridCol w:w="302"/>
        <w:gridCol w:w="265"/>
        <w:gridCol w:w="1011"/>
        <w:gridCol w:w="548"/>
        <w:gridCol w:w="1418"/>
        <w:gridCol w:w="161"/>
        <w:gridCol w:w="1843"/>
      </w:tblGrid>
      <w:tr w:rsidR="003E3B28" w:rsidTr="003E3B28">
        <w:trPr>
          <w:gridBefore w:val="1"/>
          <w:gridAfter w:val="2"/>
          <w:wBefore w:w="424" w:type="dxa"/>
          <w:wAfter w:w="2004" w:type="dxa"/>
          <w:trHeight w:val="316"/>
        </w:trPr>
        <w:tc>
          <w:tcPr>
            <w:tcW w:w="160" w:type="dxa"/>
            <w:gridSpan w:val="2"/>
            <w:noWrap/>
            <w:vAlign w:val="bottom"/>
            <w:hideMark/>
          </w:tcPr>
          <w:p w:rsidR="003E3B28" w:rsidRDefault="003E3B28"/>
        </w:tc>
        <w:tc>
          <w:tcPr>
            <w:tcW w:w="3385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gridSpan w:val="3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gridSpan w:val="3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7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za opak.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katalogowy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data ważności świadectwa dopuszczenia/ nr certyfikatu zgodności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ind w:right="6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wyrobu medycznego</w:t>
            </w:r>
          </w:p>
        </w:tc>
      </w:tr>
      <w:tr w:rsidR="003E3B28" w:rsidTr="003E3B28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przeznaczony do tamowania krwawienia, zawierający miejscowy,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wchłanialny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środek hemostatyczny z oczyszczonej żelatyny wieprzowej, w formie płynnej, wstępnie zmieszanej matrycy i rozwór trombiny zawierający 2000 IU sterylnej, liofilizowanej ludzkiej trombiny oraz strzykawkę bez igły z 2 ml sterylne wody do wstrzyknięć i kaniule z możliwością odcięcia lub z pamięcią kształtu. Czas wchłaniania 4-6 tygodni. Objętość matrycy żelatynowej ma 7ml, zaś łączna objętość produktu końcowego po zmieszaniu z 2ml ludzkiej trombiny wynosi 8 ml. 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6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                                                                                                                                     ……………………………….......................</w:t>
      </w: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/pieczęć i podpis osoby upoważnione</w:t>
      </w: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3/2  SIWZ     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KALKULACJA CENOWA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OPIS PRZEDMIOTU ZAMÓWIENIA- ZADANIE 2</w:t>
      </w:r>
    </w:p>
    <w:p w:rsidR="003E3B28" w:rsidRDefault="003E3B28" w:rsidP="003E3B28">
      <w:pPr>
        <w:pStyle w:val="Tekstpodstawowy"/>
        <w:ind w:left="0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ZAMAWIAJĄCY: Uniwersytecki Szpital Dziecięcy w Krakowie, ul. Wielicka 265, 30-663 Kraków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Nr pos</w:t>
      </w:r>
      <w:r>
        <w:rPr>
          <w:rFonts w:ascii="Arial" w:hAnsi="Arial" w:cs="Arial"/>
        </w:rPr>
        <w:t>tepowania: EZP-271-2-111/PN/2019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</w:p>
    <w:p w:rsidR="003E3B28" w:rsidRDefault="003E3B28" w:rsidP="003E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68"/>
        <w:gridCol w:w="1011"/>
        <w:gridCol w:w="1966"/>
        <w:gridCol w:w="284"/>
        <w:gridCol w:w="708"/>
        <w:gridCol w:w="143"/>
        <w:gridCol w:w="160"/>
        <w:gridCol w:w="690"/>
        <w:gridCol w:w="1134"/>
        <w:gridCol w:w="708"/>
        <w:gridCol w:w="284"/>
        <w:gridCol w:w="567"/>
        <w:gridCol w:w="142"/>
        <w:gridCol w:w="1417"/>
        <w:gridCol w:w="142"/>
        <w:gridCol w:w="1276"/>
        <w:gridCol w:w="2127"/>
        <w:gridCol w:w="1843"/>
      </w:tblGrid>
      <w:tr w:rsidR="003E3B28" w:rsidTr="003E3B28">
        <w:trPr>
          <w:gridBefore w:val="1"/>
          <w:gridAfter w:val="2"/>
          <w:wBefore w:w="140" w:type="dxa"/>
          <w:wAfter w:w="3970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3E3B28" w:rsidRDefault="003E3B28"/>
        </w:tc>
        <w:tc>
          <w:tcPr>
            <w:tcW w:w="1011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gridSpan w:val="4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7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za opak.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katalogowy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data ważności świadectwa dopuszczenia/ nr certyfikatu zgodności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wyrobu medycznego</w:t>
            </w: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Przesycony wodny roztwór jonów wapniowo – fosforanowych zawierający: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Dwuzasadowy fosforan sodu 0,032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Jednozasadowy fosforan sodu 0,009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Chlorek wapnia 0,052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Chlorek sodu 0,569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x 60 szt.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……………………………….......................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/pieczęć i podpis osoby upoważnionej/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pStyle w:val="Tekstpodstawowywcity"/>
        <w:ind w:left="450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450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450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450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3/3  SIWZ     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KALKULACJA CENOWA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OPIS PRZEDMIOTU ZAMÓWIENIA- ZADANIE 3</w:t>
      </w:r>
    </w:p>
    <w:p w:rsidR="003E3B28" w:rsidRDefault="003E3B28" w:rsidP="003E3B28">
      <w:pPr>
        <w:pStyle w:val="Tekstpodstawowy"/>
        <w:ind w:left="0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ZAMAWIAJĄCY: Uniwersytecki Szpital Dziecięcy w Krakowie, ul. Wielicka 265, 30-663 Kraków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Nr pos</w:t>
      </w:r>
      <w:r>
        <w:rPr>
          <w:rFonts w:ascii="Arial" w:hAnsi="Arial" w:cs="Arial"/>
        </w:rPr>
        <w:t>tepowania: EZP-271-2-111/PN/2019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</w:p>
    <w:p w:rsidR="003E3B28" w:rsidRDefault="003E3B28" w:rsidP="003E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68"/>
        <w:gridCol w:w="1011"/>
        <w:gridCol w:w="1966"/>
        <w:gridCol w:w="284"/>
        <w:gridCol w:w="708"/>
        <w:gridCol w:w="143"/>
        <w:gridCol w:w="160"/>
        <w:gridCol w:w="690"/>
        <w:gridCol w:w="1134"/>
        <w:gridCol w:w="708"/>
        <w:gridCol w:w="284"/>
        <w:gridCol w:w="567"/>
        <w:gridCol w:w="142"/>
        <w:gridCol w:w="1417"/>
        <w:gridCol w:w="142"/>
        <w:gridCol w:w="1276"/>
        <w:gridCol w:w="2127"/>
        <w:gridCol w:w="1843"/>
      </w:tblGrid>
      <w:tr w:rsidR="003E3B28" w:rsidTr="003E3B28">
        <w:trPr>
          <w:gridBefore w:val="1"/>
          <w:gridAfter w:val="2"/>
          <w:wBefore w:w="140" w:type="dxa"/>
          <w:wAfter w:w="3970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3E3B28" w:rsidRDefault="003E3B28"/>
        </w:tc>
        <w:tc>
          <w:tcPr>
            <w:tcW w:w="1011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gridSpan w:val="4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7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za zestaw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katalogowy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data ważności świadectwa dopuszczenia/ nr certyfikatu zgodności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wyrobu medycznego</w:t>
            </w: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do stabilizacji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transpedikularnej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piersiowo – lędźwiowej kręgosłupa w skoliozach „dziecięcych rosnących”. Tytanowe śruby jednoosiowe i wieloosiowe (tulipanowe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konikalnym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trzonie, gwintowane na całej długości)- śruby nie wymagają gwintowania, dostępne śruby wyciągowe. Dostępne śruby o średnicach 4 mm, 4,35 mm, 5 mm i 6mm. Pręty mocowane od góry jednym elementem o mechanizmie zabezpieczającym przed obluzowaniem. Dostępne bloczki do wydłużania pręta (rozwórki rosnące) w co najmniej 2 rozmiarach. Dostępne tulipanowe haki laminarne szerokie i wąskie, haki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pedikularne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haki odgięte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prawo i w lewo, haki offsetowe, haki wyciągowe. Pręty z możliwością docinania do pożądanego rozmiaru o średnicy 4,5 mm. W zestawie narzędzi klucz dynamometryczny. Implanty trwałe oznakowane, otwarte od góry (z punktu widzenia operatora). W zestawie dostępne bloczki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dystrakcyjne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skolioz rosnących. Skład zestawu śruba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monoaksialna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śruba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poliaksialna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pręt, poprzeczka, konektor bok do boku.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……………………………….......................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/pieczęć i podpis osoby upoważnionej/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pStyle w:val="Tekstpodstawowywcity"/>
        <w:ind w:left="450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3/4  SIWZ     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KALKULACJA CENOWA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OPIS PRZEDMIOTU ZAMÓWIENIA- ZADANIE 4</w:t>
      </w:r>
    </w:p>
    <w:p w:rsidR="003E3B28" w:rsidRDefault="003E3B28" w:rsidP="003E3B28">
      <w:pPr>
        <w:pStyle w:val="Tekstpodstawowy"/>
        <w:ind w:left="0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ZAMAWIAJĄCY: Uniwersytecki Szpital Dziecięcy w Krakowie, ul. Wielicka 265, 30-663 Kraków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Nr po</w:t>
      </w:r>
      <w:r>
        <w:rPr>
          <w:rFonts w:ascii="Arial" w:hAnsi="Arial" w:cs="Arial"/>
        </w:rPr>
        <w:t>stepowania: EZP-271-2-111/PN/2019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</w:p>
    <w:p w:rsidR="003E3B28" w:rsidRDefault="003E3B28" w:rsidP="003E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68"/>
        <w:gridCol w:w="1011"/>
        <w:gridCol w:w="1966"/>
        <w:gridCol w:w="284"/>
        <w:gridCol w:w="708"/>
        <w:gridCol w:w="143"/>
        <w:gridCol w:w="160"/>
        <w:gridCol w:w="690"/>
        <w:gridCol w:w="1134"/>
        <w:gridCol w:w="708"/>
        <w:gridCol w:w="284"/>
        <w:gridCol w:w="567"/>
        <w:gridCol w:w="142"/>
        <w:gridCol w:w="1417"/>
        <w:gridCol w:w="142"/>
        <w:gridCol w:w="1276"/>
        <w:gridCol w:w="2127"/>
        <w:gridCol w:w="1843"/>
      </w:tblGrid>
      <w:tr w:rsidR="003E3B28" w:rsidTr="003E3B28">
        <w:trPr>
          <w:gridBefore w:val="1"/>
          <w:gridAfter w:val="2"/>
          <w:wBefore w:w="140" w:type="dxa"/>
          <w:wAfter w:w="3970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3E3B28" w:rsidRDefault="003E3B28"/>
        </w:tc>
        <w:tc>
          <w:tcPr>
            <w:tcW w:w="1011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gridSpan w:val="4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7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katalogowy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data ważności świadectwa dopuszczenia/ nr certyfikatu zgodności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wyrobu medycznego</w:t>
            </w: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do stabilizacji tylnej w odcinku szyjnym wraz z przejściem w odcinek piersiowy – komplet: 6 śrub, 6 nakrętek, 2 pręty przejściowe 3,5/5,5 mm.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Łącznik do prętów Ø 6,0/6,0 mm, stop tytanu (TAN)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Konektor bok do boku 4,5/4,5 mm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278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……………………………….......................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/pieczęć i podpis osoby upoważnionej/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E3B28" w:rsidRDefault="003E3B28" w:rsidP="003E3B28">
      <w:pPr>
        <w:pStyle w:val="Tekstpodstawowywcity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3/5  SIWZ     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KALKULACJA CENOWA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OPIS PRZEDMIOTU ZAMÓWIENIA- ZADANIE 5</w:t>
      </w:r>
    </w:p>
    <w:p w:rsidR="003E3B28" w:rsidRDefault="003E3B28" w:rsidP="003E3B28">
      <w:pPr>
        <w:pStyle w:val="Tekstpodstawowy"/>
        <w:jc w:val="center"/>
        <w:rPr>
          <w:rFonts w:ascii="Cambria" w:hAnsi="Cambria"/>
          <w:b/>
          <w:sz w:val="20"/>
        </w:rPr>
      </w:pP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ZAMAWIAJĄCY: Uniwersytecki Szpital Dziecięcy w Krakowie, ul. Wielicka 265, 30-663 Kraków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  <w:r>
        <w:rPr>
          <w:rFonts w:ascii="Arial" w:hAnsi="Arial" w:cs="Arial"/>
        </w:rPr>
        <w:t>Nr postepowania: EZP-271-2-</w:t>
      </w:r>
      <w:r>
        <w:rPr>
          <w:rFonts w:ascii="Arial" w:hAnsi="Arial" w:cs="Arial"/>
        </w:rPr>
        <w:t>111/PN/2019</w:t>
      </w:r>
    </w:p>
    <w:p w:rsidR="003E3B28" w:rsidRDefault="003E3B28" w:rsidP="003E3B28">
      <w:pPr>
        <w:pStyle w:val="StandardowyStandardowy1"/>
        <w:rPr>
          <w:rFonts w:ascii="Arial" w:hAnsi="Arial" w:cs="Arial"/>
        </w:rPr>
      </w:pPr>
    </w:p>
    <w:p w:rsidR="003E3B28" w:rsidRDefault="003E3B28" w:rsidP="003E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68"/>
        <w:gridCol w:w="1011"/>
        <w:gridCol w:w="1966"/>
        <w:gridCol w:w="284"/>
        <w:gridCol w:w="708"/>
        <w:gridCol w:w="143"/>
        <w:gridCol w:w="160"/>
        <w:gridCol w:w="690"/>
        <w:gridCol w:w="1134"/>
        <w:gridCol w:w="708"/>
        <w:gridCol w:w="284"/>
        <w:gridCol w:w="567"/>
        <w:gridCol w:w="142"/>
        <w:gridCol w:w="1417"/>
        <w:gridCol w:w="142"/>
        <w:gridCol w:w="1276"/>
        <w:gridCol w:w="2127"/>
        <w:gridCol w:w="1984"/>
      </w:tblGrid>
      <w:tr w:rsidR="003E3B28" w:rsidTr="003E3B28">
        <w:trPr>
          <w:gridBefore w:val="1"/>
          <w:gridAfter w:val="2"/>
          <w:wBefore w:w="140" w:type="dxa"/>
          <w:wAfter w:w="4111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3E3B28" w:rsidRDefault="003E3B28"/>
        </w:tc>
        <w:tc>
          <w:tcPr>
            <w:tcW w:w="1011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gridSpan w:val="4"/>
            <w:noWrap/>
            <w:vAlign w:val="bottom"/>
            <w:hideMark/>
          </w:tcPr>
          <w:p w:rsidR="003E3B28" w:rsidRDefault="003E3B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28" w:rsidTr="003E3B28">
        <w:trPr>
          <w:trHeight w:val="7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netto sztuki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katalogowy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data ważności świadectwa dopuszczenia/ nr certyfikatu zgodności 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wyrobu medycznego</w:t>
            </w:r>
          </w:p>
        </w:tc>
      </w:tr>
      <w:tr w:rsidR="003E3B28" w:rsidTr="003E3B28">
        <w:trPr>
          <w:trHeight w:val="2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28" w:rsidRDefault="003E3B28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infuzyjna w pełni programowalna (objętość rezerwuaru od 20 ml) do podawania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baklofenu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mieszanek leków (w tym postaci generycznych leków), wraz z osprzętem i zestawem do jej napełniania. Skład zestawu: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-pompa infuzyjna w pełni programowalna, żywotność baterii 10 lat ( objętość rezerwuaru od 20 ml) do podawania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baklofenu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mieszanek leków ( w tym postaci generycznych leków), odporności membrany na przekłucia: 1000 razy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cewnik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dooponowy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cm </w:t>
            </w:r>
          </w:p>
          <w:p w:rsidR="003E3B28" w:rsidRDefault="003E3B28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B28" w:rsidRDefault="003E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8" w:rsidRDefault="003E3B28">
            <w:pPr>
              <w:tabs>
                <w:tab w:val="left" w:pos="9000"/>
              </w:tabs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28" w:rsidRDefault="003E3B28" w:rsidP="003E3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                                                                                                                                     ……………………………….......................</w:t>
      </w:r>
    </w:p>
    <w:p w:rsidR="003E3B28" w:rsidRDefault="003E3B28" w:rsidP="003E3B28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  <w:sectPr w:rsidR="003E3B28" w:rsidSect="003E3B28">
          <w:pgSz w:w="16838" w:h="11906" w:orient="landscape"/>
          <w:pgMar w:top="567" w:right="1418" w:bottom="1418" w:left="1418" w:header="709" w:footer="709" w:gutter="0"/>
          <w:cols w:space="708"/>
        </w:sectPr>
      </w:pP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miejscowość, data/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/pie</w:t>
      </w:r>
      <w:r>
        <w:rPr>
          <w:rFonts w:ascii="Arial" w:hAnsi="Arial" w:cs="Arial"/>
          <w:sz w:val="20"/>
          <w:szCs w:val="20"/>
        </w:rPr>
        <w:t xml:space="preserve">częć i podpis osoby </w:t>
      </w:r>
      <w:proofErr w:type="spellStart"/>
      <w:r>
        <w:rPr>
          <w:rFonts w:ascii="Arial" w:hAnsi="Arial" w:cs="Arial"/>
          <w:sz w:val="20"/>
          <w:szCs w:val="20"/>
        </w:rPr>
        <w:t>upoważnion</w:t>
      </w:r>
      <w:bookmarkStart w:id="0" w:name="_GoBack"/>
      <w:bookmarkEnd w:id="0"/>
      <w:proofErr w:type="spellEnd"/>
    </w:p>
    <w:p w:rsidR="002911A5" w:rsidRDefault="002911A5" w:rsidP="003E3B28"/>
    <w:sectPr w:rsidR="002911A5" w:rsidSect="003E3B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28"/>
    <w:rsid w:val="002911A5"/>
    <w:rsid w:val="003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A117-556A-4279-9D45-9BD5B479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3E3B28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3E3B28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E3B28"/>
  </w:style>
  <w:style w:type="paragraph" w:styleId="Tekstpodstawowywcity">
    <w:name w:val="Body Text Indent"/>
    <w:basedOn w:val="Normalny"/>
    <w:link w:val="TekstpodstawowywcityZnak"/>
    <w:semiHidden/>
    <w:unhideWhenUsed/>
    <w:rsid w:val="003E3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3B28"/>
  </w:style>
  <w:style w:type="paragraph" w:styleId="Bezodstpw">
    <w:name w:val="No Spacing"/>
    <w:uiPriority w:val="1"/>
    <w:qFormat/>
    <w:rsid w:val="003E3B28"/>
    <w:pPr>
      <w:spacing w:after="0" w:line="240" w:lineRule="auto"/>
    </w:pPr>
  </w:style>
  <w:style w:type="paragraph" w:customStyle="1" w:styleId="StandardowyStandardowy1">
    <w:name w:val="Standardowy.Standardowy1"/>
    <w:rsid w:val="003E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2020-02-14T08:47:00Z</cp:lastPrinted>
  <dcterms:created xsi:type="dcterms:W3CDTF">2020-02-14T08:45:00Z</dcterms:created>
  <dcterms:modified xsi:type="dcterms:W3CDTF">2020-02-14T08:47:00Z</dcterms:modified>
</cp:coreProperties>
</file>