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AB" w:rsidRDefault="00C544AB" w:rsidP="00C544AB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Załącznik nr 3/1 do </w:t>
      </w:r>
      <w:proofErr w:type="spellStart"/>
      <w:r>
        <w:rPr>
          <w:rFonts w:cs="Times New Roman"/>
          <w:b/>
          <w:sz w:val="18"/>
          <w:szCs w:val="18"/>
        </w:rPr>
        <w:t>siwz</w:t>
      </w:r>
      <w:proofErr w:type="spellEnd"/>
    </w:p>
    <w:p w:rsidR="00C544AB" w:rsidRDefault="00C544AB" w:rsidP="00C544AB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KALKULACJA CENOWA - OPIS PRZEDMIOTU ZAMÓWIENIA</w:t>
      </w:r>
    </w:p>
    <w:p w:rsidR="00C544AB" w:rsidRDefault="00C544AB" w:rsidP="00C544AB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cs="Times New Roman"/>
          <w:b/>
          <w:sz w:val="18"/>
          <w:szCs w:val="18"/>
        </w:rPr>
        <w:t xml:space="preserve">GRUPA 1 - </w:t>
      </w:r>
      <w:r>
        <w:rPr>
          <w:rFonts w:eastAsia="Times New Roman" w:cs="Arial"/>
          <w:b/>
          <w:sz w:val="18"/>
          <w:szCs w:val="18"/>
          <w:lang w:eastAsia="pl-PL"/>
        </w:rPr>
        <w:t xml:space="preserve">Zamknięty system dostępu naczyniowego </w:t>
      </w:r>
    </w:p>
    <w:p w:rsidR="00C544AB" w:rsidRDefault="00C544AB" w:rsidP="00C544AB">
      <w:pPr>
        <w:pStyle w:val="Tekstpodstawowy"/>
        <w:jc w:val="center"/>
        <w:rPr>
          <w:rFonts w:cs="Times New Roman"/>
          <w:b/>
          <w:sz w:val="18"/>
          <w:szCs w:val="18"/>
          <w:u w:val="single"/>
        </w:rPr>
      </w:pPr>
    </w:p>
    <w:p w:rsidR="00C544AB" w:rsidRDefault="00C544AB" w:rsidP="00C544AB">
      <w:pPr>
        <w:pStyle w:val="StandardowyStandardowy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ZAMAWIAJĄCY: Uniwersytecki Szpital Dziecięcy w Krakowie, ul. Wielicka 265, 30-663 Kraków</w:t>
      </w:r>
    </w:p>
    <w:p w:rsidR="00C544AB" w:rsidRDefault="00C544AB" w:rsidP="00C544AB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Wykonawcy:.........................................................................................................</w:t>
      </w:r>
    </w:p>
    <w:tbl>
      <w:tblPr>
        <w:tblW w:w="1447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760"/>
        <w:gridCol w:w="425"/>
        <w:gridCol w:w="851"/>
        <w:gridCol w:w="709"/>
        <w:gridCol w:w="1275"/>
        <w:gridCol w:w="567"/>
        <w:gridCol w:w="1276"/>
        <w:gridCol w:w="992"/>
        <w:gridCol w:w="993"/>
        <w:gridCol w:w="1134"/>
        <w:gridCol w:w="1067"/>
      </w:tblGrid>
      <w:tr w:rsidR="00C544AB" w:rsidTr="00C544AB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j/m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Orient. zużycie na 24 m-ce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Cena netto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Pełny numer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ważn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. dopuszczenia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Klasa wyrobu medycznego</w:t>
            </w:r>
          </w:p>
        </w:tc>
      </w:tr>
      <w:tr w:rsidR="00C544AB" w:rsidTr="00C544AB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4AB" w:rsidRDefault="00C5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AB" w:rsidRDefault="00C544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Łącznik bezigłowy kompatybilny z końcówką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-lock,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o przepływie min. 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312 ml/min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, zgodny z wymaganiami normy PN-EN ISO 10555-5.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Możliwość podłączenia u pacjenta min. przez 7 dni lub min. 100 aktywacji. Łącznik powinien posiadać zastawkę w postaci jednoelementowej, silikonowej podzielnej membrany (która winna też obejmować w całości górną końcówkę łącznika), zewnętrznie osadzonej na plastikowym, przeźroczystym konektorze, wnętrze pozbawione części mechanicznych, prosty tor przepływu. Dostosowany do użytku z krwią, tłuszczami, lekami chemioterapeutycznymi. Możliwość dezynfekowania środkami  alkoholowymi 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chlorheksydyną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Przestrzeń martwa max. 0,10 ml. Sterylny, jednorazowy, pakowany pojedynczo, zabezpieczony dodatkowo zatyczką. Na każdym opakowaniu nadruk nr serii i daty ważności. Opis w języku polskim. Okres ważności: min. 12 miesięcy od daty dostawy.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4AB" w:rsidRDefault="00C5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4AB" w:rsidRDefault="00C544AB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4AB" w:rsidRDefault="00C5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4AB" w:rsidRDefault="00C544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544AB" w:rsidTr="00C544AB">
        <w:trPr>
          <w:gridBefore w:val="3"/>
          <w:gridAfter w:val="4"/>
          <w:wBefore w:w="5608" w:type="dxa"/>
          <w:wAfter w:w="4186" w:type="dxa"/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B" w:rsidRDefault="00C544AB">
            <w:pPr>
              <w:tabs>
                <w:tab w:val="left" w:pos="900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b/>
                <w:sz w:val="20"/>
                <w:szCs w:val="20"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B" w:rsidRDefault="00C544AB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B" w:rsidRDefault="00C544AB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B" w:rsidRDefault="00C544AB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B" w:rsidRDefault="00C544AB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544AB" w:rsidRDefault="00C544AB" w:rsidP="00C544AB">
      <w:pPr>
        <w:tabs>
          <w:tab w:val="left" w:pos="9000"/>
        </w:tabs>
        <w:spacing w:after="0" w:line="240" w:lineRule="auto"/>
        <w:rPr>
          <w:rFonts w:cs="Times New Roman"/>
          <w:sz w:val="18"/>
          <w:szCs w:val="18"/>
        </w:rPr>
      </w:pPr>
    </w:p>
    <w:p w:rsidR="00C544AB" w:rsidRDefault="00C544AB" w:rsidP="00C544AB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C544AB" w:rsidRDefault="00C544AB" w:rsidP="00C544AB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………………………………………………………………………………………………</w:t>
      </w:r>
    </w:p>
    <w:p w:rsidR="00C544AB" w:rsidRDefault="00C544AB" w:rsidP="00C544AB">
      <w:pPr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Miejscowość, data </w:t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  <w:t xml:space="preserve"> (podpis osoby upoważnionej do reprezentowania Wykonawcy)</w:t>
      </w:r>
    </w:p>
    <w:p w:rsidR="00C544AB" w:rsidRDefault="00C544AB" w:rsidP="00C544AB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C544AB" w:rsidRDefault="00C544AB" w:rsidP="00C544AB">
      <w:pPr>
        <w:rPr>
          <w:rFonts w:cs="Times New Roman"/>
          <w:b/>
          <w:sz w:val="18"/>
          <w:szCs w:val="18"/>
        </w:rPr>
      </w:pPr>
      <w:r>
        <w:rPr>
          <w:rFonts w:ascii="Calibri" w:hAnsi="Calibri"/>
          <w:sz w:val="16"/>
          <w:szCs w:val="16"/>
        </w:rPr>
        <w:t>EZP-271-2/55/2018</w:t>
      </w:r>
    </w:p>
    <w:p w:rsidR="00720AAE" w:rsidRDefault="00720AAE"/>
    <w:sectPr w:rsidR="00720AAE" w:rsidSect="00C54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AB"/>
    <w:rsid w:val="00720AAE"/>
    <w:rsid w:val="00C544AB"/>
    <w:rsid w:val="00E3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0CC92-02E3-4C28-AF2A-5095FFBC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4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4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44AB"/>
  </w:style>
  <w:style w:type="paragraph" w:customStyle="1" w:styleId="StandardowyStandardowy1">
    <w:name w:val="Standardowy.Standardowy1"/>
    <w:rsid w:val="00C54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dcterms:created xsi:type="dcterms:W3CDTF">2018-09-18T09:38:00Z</dcterms:created>
  <dcterms:modified xsi:type="dcterms:W3CDTF">2018-09-18T10:26:00Z</dcterms:modified>
</cp:coreProperties>
</file>