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08" w:rsidRDefault="00F56608" w:rsidP="00F56608">
      <w:pPr>
        <w:jc w:val="right"/>
        <w:rPr>
          <w:rFonts w:ascii="Arial Narrow" w:hAnsi="Arial Narrow" w:cs="Times New Roman"/>
          <w:b/>
          <w:sz w:val="20"/>
          <w:szCs w:val="20"/>
        </w:rPr>
      </w:pPr>
      <w:r>
        <w:rPr>
          <w:rFonts w:ascii="Arial Narrow" w:hAnsi="Arial Narrow" w:cs="Times New Roman"/>
          <w:b/>
          <w:sz w:val="20"/>
          <w:szCs w:val="20"/>
        </w:rPr>
        <w:t xml:space="preserve">Załącznik nr 3 do </w:t>
      </w:r>
      <w:proofErr w:type="spellStart"/>
      <w:r>
        <w:rPr>
          <w:rFonts w:ascii="Arial Narrow" w:hAnsi="Arial Narrow" w:cs="Times New Roman"/>
          <w:b/>
          <w:sz w:val="20"/>
          <w:szCs w:val="20"/>
        </w:rPr>
        <w:t>siwz</w:t>
      </w:r>
      <w:proofErr w:type="spellEnd"/>
    </w:p>
    <w:p w:rsidR="00F56608" w:rsidRDefault="00F56608" w:rsidP="00F56608">
      <w:pPr>
        <w:pStyle w:val="Tekstpodstawowy"/>
        <w:jc w:val="center"/>
        <w:rPr>
          <w:rFonts w:ascii="Arial Narrow" w:hAnsi="Arial Narrow" w:cs="Times New Roman"/>
          <w:b/>
          <w:sz w:val="20"/>
          <w:szCs w:val="20"/>
        </w:rPr>
      </w:pPr>
      <w:r>
        <w:rPr>
          <w:rFonts w:ascii="Arial Narrow" w:hAnsi="Arial Narrow" w:cs="Times New Roman"/>
          <w:b/>
          <w:sz w:val="20"/>
          <w:szCs w:val="20"/>
        </w:rPr>
        <w:t>KALKULACJA CENOWA - OPIS PRZEDMIOTU ZAMÓWIENIA</w:t>
      </w:r>
    </w:p>
    <w:tbl>
      <w:tblPr>
        <w:tblW w:w="16000" w:type="dxa"/>
        <w:tblInd w:w="-1144" w:type="dxa"/>
        <w:tblCellMar>
          <w:left w:w="70" w:type="dxa"/>
          <w:right w:w="70" w:type="dxa"/>
        </w:tblCellMar>
        <w:tblLook w:val="04A0" w:firstRow="1" w:lastRow="0" w:firstColumn="1" w:lastColumn="0" w:noHBand="0" w:noVBand="1"/>
      </w:tblPr>
      <w:tblGrid>
        <w:gridCol w:w="425"/>
        <w:gridCol w:w="6663"/>
        <w:gridCol w:w="1701"/>
        <w:gridCol w:w="1072"/>
        <w:gridCol w:w="1134"/>
        <w:gridCol w:w="922"/>
        <w:gridCol w:w="1843"/>
        <w:gridCol w:w="628"/>
        <w:gridCol w:w="1612"/>
      </w:tblGrid>
      <w:tr w:rsidR="00F56608" w:rsidTr="00F56608">
        <w:trPr>
          <w:cantSplit/>
          <w:trHeight w:val="655"/>
        </w:trPr>
        <w:tc>
          <w:tcPr>
            <w:tcW w:w="425" w:type="dxa"/>
            <w:tcBorders>
              <w:top w:val="single" w:sz="8" w:space="0" w:color="000000"/>
              <w:left w:val="single" w:sz="8" w:space="0" w:color="000000"/>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Lp.</w:t>
            </w:r>
          </w:p>
        </w:tc>
        <w:tc>
          <w:tcPr>
            <w:tcW w:w="6663" w:type="dxa"/>
            <w:tcBorders>
              <w:top w:val="single" w:sz="8" w:space="0" w:color="000000"/>
              <w:left w:val="nil"/>
              <w:bottom w:val="single" w:sz="4" w:space="0" w:color="000000"/>
              <w:right w:val="single" w:sz="4" w:space="0" w:color="auto"/>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Nazwa produktu</w:t>
            </w:r>
          </w:p>
        </w:tc>
        <w:tc>
          <w:tcPr>
            <w:tcW w:w="1701" w:type="dxa"/>
            <w:tcBorders>
              <w:top w:val="single" w:sz="8" w:space="0" w:color="000000"/>
              <w:left w:val="single" w:sz="4" w:space="0" w:color="auto"/>
              <w:bottom w:val="single" w:sz="4" w:space="0" w:color="000000"/>
              <w:right w:val="single" w:sz="4" w:space="0" w:color="000000"/>
            </w:tcBorders>
            <w:vAlign w:val="center"/>
          </w:tcPr>
          <w:p w:rsidR="00F56608" w:rsidRDefault="00F56608" w:rsidP="00F56608">
            <w:pPr>
              <w:jc w:val="center"/>
              <w:rPr>
                <w:rFonts w:ascii="Arial Narrow" w:hAnsi="Arial Narrow" w:cs="Times New Roman"/>
                <w:sz w:val="20"/>
                <w:szCs w:val="20"/>
              </w:rPr>
            </w:pPr>
            <w:r>
              <w:rPr>
                <w:rFonts w:ascii="Arial Narrow" w:hAnsi="Arial Narrow" w:cs="Times New Roman"/>
                <w:sz w:val="20"/>
                <w:szCs w:val="20"/>
              </w:rPr>
              <w:t xml:space="preserve">Nazwa handlowa przedmiotu zamówienia </w:t>
            </w:r>
          </w:p>
        </w:tc>
        <w:tc>
          <w:tcPr>
            <w:tcW w:w="1072" w:type="dxa"/>
            <w:tcBorders>
              <w:top w:val="single" w:sz="8"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Jedn. miary</w:t>
            </w:r>
          </w:p>
        </w:tc>
        <w:tc>
          <w:tcPr>
            <w:tcW w:w="1134" w:type="dxa"/>
            <w:tcBorders>
              <w:top w:val="single" w:sz="8"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Ilość na okres 36 miesięcy</w:t>
            </w:r>
          </w:p>
        </w:tc>
        <w:tc>
          <w:tcPr>
            <w:tcW w:w="922" w:type="dxa"/>
            <w:tcBorders>
              <w:top w:val="single" w:sz="8"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Cena jedn. netto</w:t>
            </w:r>
          </w:p>
        </w:tc>
        <w:tc>
          <w:tcPr>
            <w:tcW w:w="1843" w:type="dxa"/>
            <w:tcBorders>
              <w:top w:val="single" w:sz="8"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Wartość netto</w:t>
            </w:r>
          </w:p>
        </w:tc>
        <w:tc>
          <w:tcPr>
            <w:tcW w:w="628" w:type="dxa"/>
            <w:tcBorders>
              <w:top w:val="single" w:sz="8"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VAT</w:t>
            </w:r>
          </w:p>
          <w:p w:rsidR="00F56608" w:rsidRDefault="00F56608">
            <w:pPr>
              <w:jc w:val="center"/>
              <w:rPr>
                <w:rFonts w:ascii="Arial Narrow" w:hAnsi="Arial Narrow" w:cs="Times New Roman"/>
                <w:sz w:val="20"/>
                <w:szCs w:val="20"/>
              </w:rPr>
            </w:pPr>
            <w:r>
              <w:rPr>
                <w:rFonts w:ascii="Arial Narrow" w:hAnsi="Arial Narrow" w:cs="Times New Roman"/>
                <w:sz w:val="20"/>
                <w:szCs w:val="20"/>
              </w:rPr>
              <w:t>%</w:t>
            </w:r>
          </w:p>
        </w:tc>
        <w:tc>
          <w:tcPr>
            <w:tcW w:w="1612" w:type="dxa"/>
            <w:tcBorders>
              <w:top w:val="single" w:sz="8" w:space="0" w:color="000000"/>
              <w:left w:val="nil"/>
              <w:bottom w:val="single" w:sz="4" w:space="0" w:color="000000"/>
              <w:right w:val="single" w:sz="8"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Wartość brutto</w:t>
            </w:r>
          </w:p>
        </w:tc>
      </w:tr>
      <w:tr w:rsidR="00F56608" w:rsidTr="00F56608">
        <w:trPr>
          <w:trHeight w:val="1072"/>
        </w:trPr>
        <w:tc>
          <w:tcPr>
            <w:tcW w:w="425" w:type="dxa"/>
            <w:tcBorders>
              <w:top w:val="nil"/>
              <w:left w:val="single" w:sz="8" w:space="0" w:color="000000"/>
              <w:bottom w:val="single" w:sz="4" w:space="0" w:color="000000"/>
              <w:right w:val="single" w:sz="4" w:space="0" w:color="000000"/>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1. </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Płyn dezynfekująco-myjący do ręcznego oraz ciśnieniowego mycia i dezynfekcji powierzchni podłóg, ścian oraz sprzętu w gastronomii. Preparat posiadający działanie bakteriobójcze oraz grzybobójcze potwierdzone spełnianiem norm PN-EN 1276 w stężeniu 0,5%, PN-EN 13697 w stężeniu 0,25%, PN-EN 1650 w stężeniu 0,5%. Preparat skutecznie odtłuszczający myte powierzchnie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13,0. Do wykorzystania do wszystkich powierzchni zmywalnych, substancja czynna biobójcza - chlorek </w:t>
            </w:r>
            <w:proofErr w:type="spellStart"/>
            <w:r>
              <w:rPr>
                <w:rFonts w:ascii="Arial Narrow" w:hAnsi="Arial Narrow" w:cs="Times New Roman"/>
                <w:color w:val="000000"/>
                <w:sz w:val="20"/>
                <w:szCs w:val="20"/>
              </w:rPr>
              <w:t>didecylodimetyloamoniowy</w:t>
            </w:r>
            <w:proofErr w:type="spellEnd"/>
            <w:r>
              <w:rPr>
                <w:rFonts w:ascii="Arial Narrow" w:hAnsi="Arial Narrow" w:cs="Times New Roman"/>
                <w:color w:val="000000"/>
                <w:sz w:val="20"/>
                <w:szCs w:val="20"/>
              </w:rPr>
              <w:t xml:space="preserve"> (zawartość minimalna 45g/kg). Opakowanie kanister 5kg. Preparat wytwarzany w standardzie ISO 13485. </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 xml:space="preserve">800  </w:t>
            </w:r>
          </w:p>
        </w:tc>
        <w:tc>
          <w:tcPr>
            <w:tcW w:w="922" w:type="dxa"/>
            <w:tcBorders>
              <w:top w:val="nil"/>
              <w:left w:val="nil"/>
              <w:bottom w:val="single" w:sz="4" w:space="0" w:color="000000"/>
              <w:right w:val="single" w:sz="4" w:space="0" w:color="000000"/>
            </w:tcBorders>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1413"/>
        </w:trPr>
        <w:tc>
          <w:tcPr>
            <w:tcW w:w="425" w:type="dxa"/>
            <w:tcBorders>
              <w:top w:val="nil"/>
              <w:left w:val="single" w:sz="8" w:space="0" w:color="000000"/>
              <w:bottom w:val="single" w:sz="4" w:space="0" w:color="000000"/>
              <w:right w:val="single" w:sz="4" w:space="0" w:color="000000"/>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Płynny, pianowy środek czyszczący i odtłuszczający do powierzchni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skuteczny w myciu ręcznym w stężeniu:0,5% powierzchnie brudne, 1% powierzchnie bardzo brudne, przypalone tłuszcze bez rozcieńczenia,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preparatu 13,50. Opakowanie kanister 5 kg. Preparat wytwarzany w standardzie ISO 13485. </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 xml:space="preserve">800 </w:t>
            </w:r>
          </w:p>
        </w:tc>
        <w:tc>
          <w:tcPr>
            <w:tcW w:w="922" w:type="dxa"/>
            <w:tcBorders>
              <w:top w:val="nil"/>
              <w:left w:val="nil"/>
              <w:bottom w:val="single" w:sz="4" w:space="0" w:color="000000"/>
              <w:right w:val="single" w:sz="4" w:space="0" w:color="000000"/>
            </w:tcBorders>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1121"/>
        </w:trPr>
        <w:tc>
          <w:tcPr>
            <w:tcW w:w="425" w:type="dxa"/>
            <w:tcBorders>
              <w:top w:val="nil"/>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3</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Płynny pianowy środek czyszczący i odtłuszczający do powierzchni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skuteczny w myciu ręcznym w stężeniu:0,5% powierzchnie brudne, 1% powierzchnie bardzo brudne, przypalone tłuszcze bez rozcieńczenia,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preparatu 13,50. Opakowanie butelka ze spryskiwaczem 750 ml. Preparat wytwarzany w standardzie ISO 13485.</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nil"/>
              <w:left w:val="nil"/>
              <w:bottom w:val="single" w:sz="4" w:space="0" w:color="000000"/>
              <w:right w:val="single" w:sz="4" w:space="0" w:color="000000"/>
            </w:tcBorders>
            <w:noWrap/>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nil"/>
              <w:left w:val="nil"/>
              <w:bottom w:val="single" w:sz="4" w:space="0" w:color="000000"/>
              <w:right w:val="single" w:sz="4" w:space="0" w:color="000000"/>
            </w:tcBorders>
            <w:noWrap/>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216</w:t>
            </w:r>
          </w:p>
        </w:tc>
        <w:tc>
          <w:tcPr>
            <w:tcW w:w="922" w:type="dxa"/>
            <w:tcBorders>
              <w:top w:val="nil"/>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564"/>
        </w:trPr>
        <w:tc>
          <w:tcPr>
            <w:tcW w:w="425" w:type="dxa"/>
            <w:tcBorders>
              <w:top w:val="nil"/>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4</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do mycia automatycznego pieców konwekcyjno-parowych. Preparat bezpieczny w stosunku do odtłuszczanych powierzchni, usuwający skutecznie przypalone tłuszcze. Oparty na wodorotlenku potasu.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preparatu 13.Opakowanie kanister 5kg. Preparat wytwarzany w standardzie ISO 13485.</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nil"/>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646"/>
        </w:trPr>
        <w:tc>
          <w:tcPr>
            <w:tcW w:w="425" w:type="dxa"/>
            <w:tcBorders>
              <w:top w:val="nil"/>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5.</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Płynny środek do maszynowego mycia naczyń stołowych oraz kuchennych. Przeznaczony do mycia w zmywarkach tunelowych oraz kapturowych. Pozwalający myć skutecznie porcelanę, stal nierdzewną, tworzywa sztuczne (polipropylen, poliwęglan). Preparat usuwający osady z herbaty, spełniający normy PN EN 1276, 1650. Dozowanie preparatu </w:t>
            </w:r>
            <w:r>
              <w:rPr>
                <w:rFonts w:ascii="Arial Narrow" w:hAnsi="Arial Narrow" w:cs="Times New Roman"/>
                <w:sz w:val="20"/>
                <w:szCs w:val="20"/>
              </w:rPr>
              <w:lastRenderedPageBreak/>
              <w:t xml:space="preserve">w ilości od 1 do 2 gramy na litr wody. Preparat z zawartością aktywnego chlorku. Opakowanie kanister 25 kg. Preparat wytwarzany w standardzie ISO 13485. </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2700</w:t>
            </w:r>
          </w:p>
        </w:tc>
        <w:tc>
          <w:tcPr>
            <w:tcW w:w="922" w:type="dxa"/>
            <w:tcBorders>
              <w:top w:val="nil"/>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727"/>
        </w:trPr>
        <w:tc>
          <w:tcPr>
            <w:tcW w:w="425" w:type="dxa"/>
            <w:tcBorders>
              <w:top w:val="nil"/>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6.</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Płynny środek do maszynowego mycia naczyń stołowych oraz kuchennych. Przeznaczony do mycia w zmywarkach tunelowych oraz kapturowych. Pozwalający myć skutecznie naczynia kuchenne. Bez zawartości aktywnego chloru. Stężenie robocze od 0,05 do 0,2%. Preparat zawierający w składzie składnik umożliwiający mycie naczyń w wodzie twardej. Preparat wysoko alkaliczny, w stężeniu 1%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12,0. Opakowanie kanister 25 kg. Preparat wytwarzany w standardzie ISO 13485. </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1250</w:t>
            </w:r>
          </w:p>
        </w:tc>
        <w:tc>
          <w:tcPr>
            <w:tcW w:w="922" w:type="dxa"/>
            <w:tcBorders>
              <w:top w:val="nil"/>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486"/>
        </w:trPr>
        <w:tc>
          <w:tcPr>
            <w:tcW w:w="425" w:type="dxa"/>
            <w:tcBorders>
              <w:top w:val="nil"/>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7.</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Płynny środek do maszynowego mycia naczyń stołowych oraz kuchennych. Przeznaczony do mycia w zmywarkach tunelowych oraz kapturowych. Pozwalający myć skutecznie naczynia kuchenne. Bez zawartości aktywnego chloru. Stężenie robocze od 0,05 do 0,2%, Preparat zawierający w składzie składnik umożliwiający mycie naczyń w wodzie twardej. Opakowanie kanister 6 kg. Preparat wytwarzany w standardzie ISO 13485. </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300</w:t>
            </w:r>
          </w:p>
        </w:tc>
        <w:tc>
          <w:tcPr>
            <w:tcW w:w="922" w:type="dxa"/>
            <w:tcBorders>
              <w:top w:val="nil"/>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847"/>
        </w:trPr>
        <w:tc>
          <w:tcPr>
            <w:tcW w:w="425" w:type="dxa"/>
            <w:tcBorders>
              <w:top w:val="nil"/>
              <w:left w:val="single" w:sz="8" w:space="0" w:color="000000"/>
              <w:bottom w:val="nil"/>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8.</w:t>
            </w:r>
          </w:p>
        </w:tc>
        <w:tc>
          <w:tcPr>
            <w:tcW w:w="6663" w:type="dxa"/>
            <w:tcBorders>
              <w:top w:val="nil"/>
              <w:left w:val="nil"/>
              <w:bottom w:val="nil"/>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Płynny środek do zmywarek, przyspieszający wysychanie naczyń nadając im połysk, nie pozostawiający śladów wody ani plam, przeciwdziała osadzaniu się kamienia we wnętrzu zmywarki oraz na mytych naczyniach. Neutralizuje pozostałości płynu myjącego. Preparat kwaśny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2,5 zawierający kwas cytrynowy oraz alkohol izopropylowy, Stężenie robocze od 0,015 do 0,05%. Opakowanie kanister 20 kg. Preparat wytwarzany w standardzie ISO 13485. </w:t>
            </w:r>
          </w:p>
        </w:tc>
        <w:tc>
          <w:tcPr>
            <w:tcW w:w="1701" w:type="dxa"/>
            <w:tcBorders>
              <w:top w:val="nil"/>
              <w:left w:val="single" w:sz="4" w:space="0" w:color="auto"/>
              <w:bottom w:val="nil"/>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nil"/>
              <w:left w:val="nil"/>
              <w:bottom w:val="nil"/>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nil"/>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1200</w:t>
            </w:r>
          </w:p>
        </w:tc>
        <w:tc>
          <w:tcPr>
            <w:tcW w:w="922" w:type="dxa"/>
            <w:tcBorders>
              <w:top w:val="nil"/>
              <w:left w:val="nil"/>
              <w:bottom w:val="nil"/>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nil"/>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661"/>
        </w:trPr>
        <w:tc>
          <w:tcPr>
            <w:tcW w:w="425" w:type="dxa"/>
            <w:tcBorders>
              <w:top w:val="single" w:sz="4" w:space="0" w:color="000000"/>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9.</w:t>
            </w:r>
          </w:p>
        </w:tc>
        <w:tc>
          <w:tcPr>
            <w:tcW w:w="6663" w:type="dxa"/>
            <w:tcBorders>
              <w:top w:val="single" w:sz="4" w:space="0" w:color="000000"/>
              <w:left w:val="nil"/>
              <w:bottom w:val="single" w:sz="4"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Płynny środek do zmywarek, przyspieszający wysychanie naczyń nadając im połysk, nie pozostawiający śladów wody ani plam,. Przeciwdziała osadzaniu się kamienia we wnętrzu zmywarki oraz na mytych naczyniach. Neutralizuje pozostałości płynu myjącego. Preparat kwaśny-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2,5. Zawierający kwas cytrynowy oraz alkohol izopropylowy. Stężenie robocze od 0,015 do 0,05%. Opakowanie kanister 5 kg. Preparat wytwarzany w standardzie ISO 13485. </w:t>
            </w:r>
          </w:p>
        </w:tc>
        <w:tc>
          <w:tcPr>
            <w:tcW w:w="1701" w:type="dxa"/>
            <w:tcBorders>
              <w:top w:val="single" w:sz="4" w:space="0" w:color="000000"/>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100</w:t>
            </w:r>
          </w:p>
        </w:tc>
        <w:tc>
          <w:tcPr>
            <w:tcW w:w="922" w:type="dxa"/>
            <w:tcBorders>
              <w:top w:val="single" w:sz="4" w:space="0" w:color="000000"/>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single" w:sz="4" w:space="0" w:color="000000"/>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594"/>
        </w:trPr>
        <w:tc>
          <w:tcPr>
            <w:tcW w:w="425" w:type="dxa"/>
            <w:tcBorders>
              <w:top w:val="nil"/>
              <w:left w:val="single" w:sz="8" w:space="0" w:color="000000"/>
              <w:bottom w:val="single" w:sz="4"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10.</w:t>
            </w:r>
          </w:p>
        </w:tc>
        <w:tc>
          <w:tcPr>
            <w:tcW w:w="6663" w:type="dxa"/>
            <w:tcBorders>
              <w:top w:val="nil"/>
              <w:left w:val="nil"/>
              <w:bottom w:val="single" w:sz="4"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Koncentrat w płynie do usuwania osadów mineralnych ze zmywarek, bemarów, kotłów, zawierający substancje chroniące powierzchnię przed korozją. Silnie skoncentrowany płyn do usuwania osadów mineralnych. Skład chemiczny: kwas fosforowy od 2,5 do 10%, kwas azotowy od 25 do 50%. Stężenie robocze od 1 do 5%. Czas działania od 10 do 30min. Opakowanie 6kg. Preparat wytwarzany w standardzie ISO 13485. </w:t>
            </w:r>
          </w:p>
        </w:tc>
        <w:tc>
          <w:tcPr>
            <w:tcW w:w="1701" w:type="dxa"/>
            <w:tcBorders>
              <w:top w:val="nil"/>
              <w:left w:val="single" w:sz="4" w:space="0" w:color="auto"/>
              <w:bottom w:val="single" w:sz="4"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180</w:t>
            </w:r>
          </w:p>
        </w:tc>
        <w:tc>
          <w:tcPr>
            <w:tcW w:w="922" w:type="dxa"/>
            <w:tcBorders>
              <w:top w:val="nil"/>
              <w:left w:val="nil"/>
              <w:bottom w:val="single" w:sz="4"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F56608">
        <w:trPr>
          <w:trHeight w:val="688"/>
        </w:trPr>
        <w:tc>
          <w:tcPr>
            <w:tcW w:w="425" w:type="dxa"/>
            <w:tcBorders>
              <w:top w:val="nil"/>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lastRenderedPageBreak/>
              <w:t>11.</w:t>
            </w:r>
          </w:p>
        </w:tc>
        <w:tc>
          <w:tcPr>
            <w:tcW w:w="6663" w:type="dxa"/>
            <w:tcBorders>
              <w:top w:val="nil"/>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Sól w tabletkach do zmiękczania wody w zmywarkach. Opakowanie nie więcej niż 25 kg. </w:t>
            </w:r>
          </w:p>
        </w:tc>
        <w:tc>
          <w:tcPr>
            <w:tcW w:w="1701" w:type="dxa"/>
            <w:tcBorders>
              <w:top w:val="nil"/>
              <w:left w:val="single" w:sz="4" w:space="0" w:color="auto"/>
              <w:bottom w:val="single" w:sz="8" w:space="0" w:color="000000"/>
              <w:right w:val="single" w:sz="4" w:space="0" w:color="000000"/>
            </w:tcBorders>
            <w:vAlign w:val="center"/>
          </w:tcPr>
          <w:p w:rsidR="00F56608" w:rsidRDefault="00F56608" w:rsidP="00F56608">
            <w:pPr>
              <w:jc w:val="both"/>
              <w:rPr>
                <w:rFonts w:ascii="Arial Narrow" w:hAnsi="Arial Narrow" w:cs="Times New Roman"/>
                <w:sz w:val="20"/>
                <w:szCs w:val="20"/>
              </w:rPr>
            </w:pPr>
          </w:p>
        </w:tc>
        <w:tc>
          <w:tcPr>
            <w:tcW w:w="1072" w:type="dxa"/>
            <w:tcBorders>
              <w:top w:val="nil"/>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3600</w:t>
            </w:r>
          </w:p>
        </w:tc>
        <w:tc>
          <w:tcPr>
            <w:tcW w:w="922" w:type="dxa"/>
            <w:tcBorders>
              <w:top w:val="nil"/>
              <w:left w:val="nil"/>
              <w:bottom w:val="single" w:sz="8"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nil"/>
              <w:left w:val="nil"/>
              <w:bottom w:val="single" w:sz="8"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042D95">
        <w:trPr>
          <w:trHeight w:val="844"/>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12</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Środek do konserwacji i czyszczenia powierzchni ze stali nierdzewnej. Zawierający w składzie minimum 50% oleju parafinowego,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preparatu neutralne. Preparat gotowy do użycia. Opakowanie butelka 500 ml ze spryskiwaczem.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8" w:space="0" w:color="000000"/>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single" w:sz="4" w:space="0" w:color="000000"/>
              <w:left w:val="nil"/>
              <w:bottom w:val="single" w:sz="8" w:space="0" w:color="000000"/>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000000"/>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000000"/>
              <w:right w:val="single" w:sz="8" w:space="0" w:color="000000"/>
            </w:tcBorders>
            <w:noWrap/>
            <w:vAlign w:val="center"/>
            <w:hideMark/>
          </w:tcPr>
          <w:p w:rsidR="00F56608" w:rsidRDefault="00F56608">
            <w:pPr>
              <w:spacing w:after="0"/>
              <w:rPr>
                <w:sz w:val="20"/>
                <w:szCs w:val="20"/>
                <w:lang w:eastAsia="pl-PL"/>
              </w:rPr>
            </w:pPr>
          </w:p>
        </w:tc>
      </w:tr>
      <w:tr w:rsidR="00F56608" w:rsidTr="00042D95">
        <w:trPr>
          <w:trHeight w:val="689"/>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13</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Ekologiczny środek czyszczenia, odtłuszczania i nabłyszczania wszelkich powierzchni wykonanych ze stali nierdzewnej w gastronomii, zbiorowym żywieniu, kuchniach przemysłowych, obiektach służby zdrowia. Preparat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Gotowy do użycia,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preparatu 2,3. Preparat zawierający w składzie kwas cytrynowy  rozpuszczający pozostałości wapnia z czyszczonych powierzchni. Opakowanie butelka ze spryskiwaczem 750 ml.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noWrap/>
            <w:vAlign w:val="center"/>
            <w:hideMark/>
          </w:tcPr>
          <w:p w:rsidR="00F56608" w:rsidRDefault="00F56608">
            <w:pP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hideMark/>
          </w:tcPr>
          <w:p w:rsidR="00F56608" w:rsidRDefault="00F56608">
            <w:pPr>
              <w:spacing w:after="0"/>
              <w:rPr>
                <w:sz w:val="20"/>
                <w:szCs w:val="20"/>
                <w:lang w:eastAsia="pl-PL"/>
              </w:rPr>
            </w:pPr>
          </w:p>
        </w:tc>
        <w:tc>
          <w:tcPr>
            <w:tcW w:w="628" w:type="dxa"/>
            <w:tcBorders>
              <w:top w:val="nil"/>
              <w:left w:val="nil"/>
              <w:bottom w:val="single" w:sz="4" w:space="0" w:color="auto"/>
              <w:right w:val="single" w:sz="4" w:space="0" w:color="000000"/>
            </w:tcBorders>
            <w:noWrap/>
            <w:vAlign w:val="center"/>
            <w:hideMark/>
          </w:tcPr>
          <w:p w:rsidR="00F56608" w:rsidRDefault="00F56608">
            <w:pPr>
              <w:spacing w:after="0"/>
              <w:rPr>
                <w:sz w:val="20"/>
                <w:szCs w:val="20"/>
                <w:lang w:eastAsia="pl-PL"/>
              </w:rPr>
            </w:pPr>
          </w:p>
        </w:tc>
        <w:tc>
          <w:tcPr>
            <w:tcW w:w="1612" w:type="dxa"/>
            <w:tcBorders>
              <w:top w:val="nil"/>
              <w:left w:val="nil"/>
              <w:bottom w:val="single" w:sz="4" w:space="0" w:color="auto"/>
              <w:right w:val="single" w:sz="8" w:space="0" w:color="000000"/>
            </w:tcBorders>
            <w:noWrap/>
            <w:vAlign w:val="center"/>
            <w:hideMark/>
          </w:tcPr>
          <w:p w:rsidR="00F56608" w:rsidRDefault="00F56608">
            <w:pPr>
              <w:spacing w:after="0"/>
              <w:rPr>
                <w:sz w:val="20"/>
                <w:szCs w:val="20"/>
                <w:lang w:eastAsia="pl-PL"/>
              </w:rPr>
            </w:pPr>
          </w:p>
        </w:tc>
      </w:tr>
      <w:tr w:rsidR="00F56608" w:rsidTr="00042D95">
        <w:trPr>
          <w:trHeight w:val="838"/>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14</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w płynie w formie super koncentratu do odtłuszczania naczyń stołowych oraz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delikatny dla skóry dłoni ( z zawartością gliceryny). Stężenie robocze 0,05 do0,1%.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koncentratu 6,5. Opakowanie kanister 5 kg.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500</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15</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w płynie w formie super koncentratu do odtłuszczania naczyń stołowych oraz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delikatny dla skóry dłoni (z zawartością gliceryny). Stężenie robocze 0,05 do 0,1%,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koncentratu 6,5. Zawiera anionowe związki powierzchniowo czynne. Opakowanie butelka 1L.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16</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w proszku do namaczania naczyń stołowych przed myciem maszynowym. Preparat skutecznie rozpuszczający skrobie i białko w procesie namaczania naczyń stołowych przed myciem maszynowym. Preparat do zastosowania bez spłukiwania. Stężenie robocze 0,5%,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1% roztwór 9,5. Opakowanie wiadro 10 kg z miarką dozującą.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1080</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17</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Kwaśny preparat myjąco dezynfekujący do mycia urządzeń sanitarnych oraz powierzchni mających bezpośredni kontakt z żywnością. Preparat z zawartością kwasu cytrynowego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2,25. Bakteriobójczy oraz grzybobójczy w stężeniu 0,5%. Spełniający normy PN-EN 1276, 13697, 1650. Skutecznie usuwający kamień wodny. Opakowanie kanister 5 L.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color w:val="000000"/>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540</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lastRenderedPageBreak/>
              <w:t>18</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Żel do muszli klozetowych. Żel usuwający kamień wodny z muszli i pisuarów z zawartością kwasu solnego oraz fosforowego.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preparatu poniżej 1. Gęstość 1,040 do 1,050. Opakowanie 750ml z końcówką dozującą typu kaczka.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rsidP="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19</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Preparat do mycia ręcznego oraz maszynowego powierzchni na zapleczu biurowym oraz socjalnym. Nadający się do mycia powierzchni ponad podłogowych oraz okien i szyb. Stężenie robocze od 0,5 do 2%,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7,5. Szybko wysychający, zawierający alkohol izopropylowy od 10 do 25%. Opakowanie kanister 5 L.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20</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Preparat pianowy do czyszczenia i dezynfekcji w jednym procesie. Preparat przeznaczony do miejsc o podwyższonym ryzyku zakażeń. Spektrum dezynfekcji powierzchni zanieczyszczonych spełnia normy PN-EN 1276 w czasie 30 sekund, PN-EN 13697 5 min. PN-EN 1650 1 min, PN-EN 14476: </w:t>
            </w:r>
            <w:proofErr w:type="spellStart"/>
            <w:r>
              <w:rPr>
                <w:rFonts w:ascii="Arial Narrow" w:hAnsi="Arial Narrow" w:cs="Times New Roman"/>
                <w:sz w:val="20"/>
                <w:szCs w:val="20"/>
              </w:rPr>
              <w:t>Norovirus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Rotavirus</w:t>
            </w:r>
            <w:proofErr w:type="spellEnd"/>
            <w:r>
              <w:rPr>
                <w:rFonts w:ascii="Arial Narrow" w:hAnsi="Arial Narrow" w:cs="Times New Roman"/>
                <w:sz w:val="20"/>
                <w:szCs w:val="20"/>
              </w:rPr>
              <w:t xml:space="preserve">, HIV, BVDV 5 min, PRV 1 min; PN-EN 13704 w 15 min Clostridium </w:t>
            </w:r>
            <w:proofErr w:type="spellStart"/>
            <w:r>
              <w:rPr>
                <w:rFonts w:ascii="Arial Narrow" w:hAnsi="Arial Narrow" w:cs="Times New Roman"/>
                <w:sz w:val="20"/>
                <w:szCs w:val="20"/>
              </w:rPr>
              <w:t>difficile</w:t>
            </w:r>
            <w:proofErr w:type="spellEnd"/>
            <w:r>
              <w:rPr>
                <w:rFonts w:ascii="Arial Narrow" w:hAnsi="Arial Narrow" w:cs="Times New Roman"/>
                <w:sz w:val="20"/>
                <w:szCs w:val="20"/>
              </w:rPr>
              <w:t xml:space="preserve">. Preparat o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5,0. Opakowanie 750 ml.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21</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Preparat do dezynfekcji powierzchni bez spłukiwania. Preparat z zawartością alkoholu etylowego oraz nadtlenku wodoru do dezynfekcji powierzchni mających kontakt z żywnością bez konieczności spłukiwania. Preparat bakterio i grzybobójczy. Opakowanie 1 L ze spryskiwaczem.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216</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22</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Mydło do higienicznego mycia rąk w gastronomii. Preparat posiadający bardzo dobre właściwości myjące. Spełniający normę dezynfekcyjną PN-EN 1499. Łagodne dla skóry rąk. Opakowanie jednorazowe 1 litr z modułem dozującym. Wymagana instalacja dozowników łokciowych wykonanych w całości ze stali nierdzewnej, nadających się do dezynfekcji termicznej w zmywarkach i sterylizatorach.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23</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Alkoholowy żel do dezynfekcji rąk bez spłukiwania.</w:t>
            </w:r>
          </w:p>
          <w:p w:rsidR="00F56608" w:rsidRDefault="00F56608">
            <w:pPr>
              <w:jc w:val="both"/>
              <w:rPr>
                <w:rFonts w:ascii="Arial Narrow" w:hAnsi="Arial Narrow" w:cs="Times New Roman"/>
                <w:sz w:val="20"/>
                <w:szCs w:val="20"/>
              </w:rPr>
            </w:pPr>
            <w:r>
              <w:rPr>
                <w:rFonts w:ascii="Arial Narrow" w:hAnsi="Arial Narrow" w:cs="Times New Roman"/>
                <w:sz w:val="20"/>
                <w:szCs w:val="20"/>
              </w:rPr>
              <w:t>- działanie bakteriobójcze:</w:t>
            </w:r>
          </w:p>
          <w:p w:rsidR="00F56608" w:rsidRDefault="00F56608">
            <w:pPr>
              <w:jc w:val="both"/>
              <w:rPr>
                <w:rFonts w:ascii="Arial Narrow" w:hAnsi="Arial Narrow" w:cs="Times New Roman"/>
                <w:sz w:val="20"/>
                <w:szCs w:val="20"/>
              </w:rPr>
            </w:pPr>
            <w:r>
              <w:rPr>
                <w:rFonts w:ascii="Arial Narrow" w:hAnsi="Arial Narrow" w:cs="Times New Roman"/>
                <w:sz w:val="20"/>
                <w:szCs w:val="20"/>
              </w:rPr>
              <w:t>PN-EN 1040, EN 13727 30 sek.</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1276 </w:t>
            </w:r>
            <w:proofErr w:type="spellStart"/>
            <w:r>
              <w:rPr>
                <w:rFonts w:ascii="Arial Narrow" w:hAnsi="Arial Narrow" w:cs="Times New Roman"/>
                <w:sz w:val="20"/>
                <w:szCs w:val="20"/>
              </w:rPr>
              <w:t>Listeria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monocytogenes</w:t>
            </w:r>
            <w:proofErr w:type="spellEnd"/>
            <w:r>
              <w:rPr>
                <w:rFonts w:ascii="Arial Narrow" w:hAnsi="Arial Narrow" w:cs="Times New Roman"/>
                <w:sz w:val="20"/>
                <w:szCs w:val="20"/>
              </w:rPr>
              <w:t xml:space="preserve">, Salmonella </w:t>
            </w:r>
            <w:proofErr w:type="spellStart"/>
            <w:r>
              <w:rPr>
                <w:rFonts w:ascii="Arial Narrow" w:hAnsi="Arial Narrow" w:cs="Times New Roman"/>
                <w:sz w:val="20"/>
                <w:szCs w:val="20"/>
              </w:rPr>
              <w:t>enteritidis</w:t>
            </w:r>
            <w:proofErr w:type="spellEnd"/>
            <w:r>
              <w:rPr>
                <w:rFonts w:ascii="Arial Narrow" w:hAnsi="Arial Narrow" w:cs="Times New Roman"/>
                <w:sz w:val="20"/>
                <w:szCs w:val="20"/>
              </w:rPr>
              <w:t xml:space="preserve"> 1 min.</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13697 Clostridium </w:t>
            </w:r>
            <w:proofErr w:type="spellStart"/>
            <w:r>
              <w:rPr>
                <w:rFonts w:ascii="Arial Narrow" w:hAnsi="Arial Narrow" w:cs="Times New Roman"/>
                <w:sz w:val="20"/>
                <w:szCs w:val="20"/>
              </w:rPr>
              <w:t>difficile</w:t>
            </w:r>
            <w:proofErr w:type="spellEnd"/>
            <w:r>
              <w:rPr>
                <w:rFonts w:ascii="Arial Narrow" w:hAnsi="Arial Narrow" w:cs="Times New Roman"/>
                <w:sz w:val="20"/>
                <w:szCs w:val="20"/>
              </w:rPr>
              <w:t xml:space="preserve"> 5 min.</w:t>
            </w:r>
          </w:p>
          <w:p w:rsidR="00F56608" w:rsidRDefault="00F56608">
            <w:pPr>
              <w:jc w:val="both"/>
              <w:rPr>
                <w:rFonts w:ascii="Arial Narrow" w:hAnsi="Arial Narrow" w:cs="Times New Roman"/>
                <w:sz w:val="20"/>
                <w:szCs w:val="20"/>
              </w:rPr>
            </w:pPr>
            <w:r>
              <w:rPr>
                <w:rFonts w:ascii="Arial Narrow" w:hAnsi="Arial Narrow" w:cs="Times New Roman"/>
                <w:sz w:val="20"/>
                <w:szCs w:val="20"/>
              </w:rPr>
              <w:lastRenderedPageBreak/>
              <w:t>- działanie grzybobójcze:</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1275 Candida </w:t>
            </w:r>
            <w:proofErr w:type="spellStart"/>
            <w:r>
              <w:rPr>
                <w:rFonts w:ascii="Arial Narrow" w:hAnsi="Arial Narrow" w:cs="Times New Roman"/>
                <w:sz w:val="20"/>
                <w:szCs w:val="20"/>
              </w:rPr>
              <w:t>albicans</w:t>
            </w:r>
            <w:proofErr w:type="spellEnd"/>
            <w:r>
              <w:rPr>
                <w:rFonts w:ascii="Arial Narrow" w:hAnsi="Arial Narrow" w:cs="Times New Roman"/>
                <w:sz w:val="20"/>
                <w:szCs w:val="20"/>
              </w:rPr>
              <w:t xml:space="preserve"> 30 sek.</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13624 Candida </w:t>
            </w:r>
            <w:proofErr w:type="spellStart"/>
            <w:r>
              <w:rPr>
                <w:rFonts w:ascii="Arial Narrow" w:hAnsi="Arial Narrow" w:cs="Times New Roman"/>
                <w:sz w:val="20"/>
                <w:szCs w:val="20"/>
              </w:rPr>
              <w:t>albicans</w:t>
            </w:r>
            <w:proofErr w:type="spellEnd"/>
            <w:r>
              <w:rPr>
                <w:rFonts w:ascii="Arial Narrow" w:hAnsi="Arial Narrow" w:cs="Times New Roman"/>
                <w:sz w:val="20"/>
                <w:szCs w:val="20"/>
              </w:rPr>
              <w:t xml:space="preserve"> 30 sek. </w:t>
            </w:r>
          </w:p>
          <w:p w:rsidR="00F56608" w:rsidRDefault="00F56608">
            <w:pPr>
              <w:jc w:val="both"/>
              <w:rPr>
                <w:rFonts w:ascii="Arial Narrow" w:hAnsi="Arial Narrow" w:cs="Times New Roman"/>
                <w:sz w:val="20"/>
                <w:szCs w:val="20"/>
              </w:rPr>
            </w:pPr>
            <w:r>
              <w:rPr>
                <w:rFonts w:ascii="Arial Narrow" w:hAnsi="Arial Narrow" w:cs="Times New Roman"/>
                <w:sz w:val="20"/>
                <w:szCs w:val="20"/>
              </w:rPr>
              <w:t>- działania wirusobójcze:</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14476 </w:t>
            </w:r>
            <w:proofErr w:type="spellStart"/>
            <w:r>
              <w:rPr>
                <w:rFonts w:ascii="Arial Narrow" w:hAnsi="Arial Narrow" w:cs="Times New Roman"/>
                <w:sz w:val="20"/>
                <w:szCs w:val="20"/>
              </w:rPr>
              <w:t>Rotavirus</w:t>
            </w:r>
            <w:proofErr w:type="spellEnd"/>
            <w:r>
              <w:rPr>
                <w:rFonts w:ascii="Arial Narrow" w:hAnsi="Arial Narrow" w:cs="Times New Roman"/>
                <w:sz w:val="20"/>
                <w:szCs w:val="20"/>
              </w:rPr>
              <w:t xml:space="preserve"> 5 min., Influenza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typ A/H1N1 10 sek., </w:t>
            </w:r>
            <w:proofErr w:type="spellStart"/>
            <w:r>
              <w:rPr>
                <w:rFonts w:ascii="Arial Narrow" w:hAnsi="Arial Narrow" w:cs="Times New Roman"/>
                <w:sz w:val="20"/>
                <w:szCs w:val="20"/>
              </w:rPr>
              <w:t>Norovirus</w:t>
            </w:r>
            <w:proofErr w:type="spellEnd"/>
            <w:r>
              <w:rPr>
                <w:rFonts w:ascii="Arial Narrow" w:hAnsi="Arial Narrow" w:cs="Times New Roman"/>
                <w:sz w:val="20"/>
                <w:szCs w:val="20"/>
              </w:rPr>
              <w:t xml:space="preserve"> 30 sek., </w:t>
            </w:r>
            <w:proofErr w:type="spellStart"/>
            <w:r>
              <w:rPr>
                <w:rFonts w:ascii="Arial Narrow" w:hAnsi="Arial Narrow" w:cs="Times New Roman"/>
                <w:sz w:val="20"/>
                <w:szCs w:val="20"/>
              </w:rPr>
              <w:t>Herpes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15 sek. Preparat w opakowaniu o pojemności 1 litra z modułem dozującym pasującym do dozowników łokciowych wykonanych w całości ze stali nierdzewnej, nadających się do dezynfekcji termicznej w zmywarkach i sterylizatorach.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spacing w:line="259" w:lineRule="auto"/>
              <w:rPr>
                <w:rFonts w:ascii="Arial Narrow" w:hAnsi="Arial Narrow" w:cs="Times New Roman"/>
                <w:sz w:val="20"/>
                <w:szCs w:val="20"/>
              </w:rPr>
            </w:pPr>
          </w:p>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 xml:space="preserve">72 </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24</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Alkoholowy żel do dezynfekcji rąk bez spłukiwania. </w:t>
            </w:r>
          </w:p>
          <w:p w:rsidR="00F56608" w:rsidRDefault="00F56608">
            <w:pPr>
              <w:jc w:val="both"/>
              <w:rPr>
                <w:rFonts w:ascii="Arial Narrow" w:hAnsi="Arial Narrow" w:cs="Times New Roman"/>
                <w:sz w:val="20"/>
                <w:szCs w:val="20"/>
              </w:rPr>
            </w:pPr>
            <w:r>
              <w:rPr>
                <w:rFonts w:ascii="Arial Narrow" w:hAnsi="Arial Narrow" w:cs="Times New Roman"/>
                <w:sz w:val="20"/>
                <w:szCs w:val="20"/>
              </w:rPr>
              <w:t>- działanie bakteriobójcze:</w:t>
            </w:r>
          </w:p>
          <w:p w:rsidR="00F56608" w:rsidRDefault="00F56608">
            <w:pPr>
              <w:jc w:val="both"/>
              <w:rPr>
                <w:rFonts w:ascii="Arial Narrow" w:hAnsi="Arial Narrow" w:cs="Times New Roman"/>
                <w:sz w:val="20"/>
                <w:szCs w:val="20"/>
              </w:rPr>
            </w:pPr>
            <w:r>
              <w:rPr>
                <w:rFonts w:ascii="Arial Narrow" w:hAnsi="Arial Narrow" w:cs="Times New Roman"/>
                <w:sz w:val="20"/>
                <w:szCs w:val="20"/>
              </w:rPr>
              <w:t>PN-EN 1040, EN 13727 30 sek.</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1276 </w:t>
            </w:r>
            <w:proofErr w:type="spellStart"/>
            <w:r>
              <w:rPr>
                <w:rFonts w:ascii="Arial Narrow" w:hAnsi="Arial Narrow" w:cs="Times New Roman"/>
                <w:sz w:val="20"/>
                <w:szCs w:val="20"/>
              </w:rPr>
              <w:t>Listeria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monocytogenes</w:t>
            </w:r>
            <w:proofErr w:type="spellEnd"/>
            <w:r>
              <w:rPr>
                <w:rFonts w:ascii="Arial Narrow" w:hAnsi="Arial Narrow" w:cs="Times New Roman"/>
                <w:sz w:val="20"/>
                <w:szCs w:val="20"/>
              </w:rPr>
              <w:t xml:space="preserve">, Salmonella </w:t>
            </w:r>
            <w:proofErr w:type="spellStart"/>
            <w:r>
              <w:rPr>
                <w:rFonts w:ascii="Arial Narrow" w:hAnsi="Arial Narrow" w:cs="Times New Roman"/>
                <w:sz w:val="20"/>
                <w:szCs w:val="20"/>
              </w:rPr>
              <w:t>enteritidis</w:t>
            </w:r>
            <w:proofErr w:type="spellEnd"/>
            <w:r>
              <w:rPr>
                <w:rFonts w:ascii="Arial Narrow" w:hAnsi="Arial Narrow" w:cs="Times New Roman"/>
                <w:sz w:val="20"/>
                <w:szCs w:val="20"/>
              </w:rPr>
              <w:t xml:space="preserve"> 1 min.</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13697 Clostridium </w:t>
            </w:r>
            <w:proofErr w:type="spellStart"/>
            <w:r>
              <w:rPr>
                <w:rFonts w:ascii="Arial Narrow" w:hAnsi="Arial Narrow" w:cs="Times New Roman"/>
                <w:sz w:val="20"/>
                <w:szCs w:val="20"/>
              </w:rPr>
              <w:t>difficile</w:t>
            </w:r>
            <w:proofErr w:type="spellEnd"/>
            <w:r>
              <w:rPr>
                <w:rFonts w:ascii="Arial Narrow" w:hAnsi="Arial Narrow" w:cs="Times New Roman"/>
                <w:sz w:val="20"/>
                <w:szCs w:val="20"/>
              </w:rPr>
              <w:t xml:space="preserve"> 5 min. </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 działanie grzybobójcze: </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1275 Candida </w:t>
            </w:r>
            <w:proofErr w:type="spellStart"/>
            <w:r>
              <w:rPr>
                <w:rFonts w:ascii="Arial Narrow" w:hAnsi="Arial Narrow" w:cs="Times New Roman"/>
                <w:sz w:val="20"/>
                <w:szCs w:val="20"/>
              </w:rPr>
              <w:t>albicans</w:t>
            </w:r>
            <w:proofErr w:type="spellEnd"/>
            <w:r>
              <w:rPr>
                <w:rFonts w:ascii="Arial Narrow" w:hAnsi="Arial Narrow" w:cs="Times New Roman"/>
                <w:sz w:val="20"/>
                <w:szCs w:val="20"/>
              </w:rPr>
              <w:t xml:space="preserve"> 30 sek. </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13624 Candida </w:t>
            </w:r>
            <w:proofErr w:type="spellStart"/>
            <w:r>
              <w:rPr>
                <w:rFonts w:ascii="Arial Narrow" w:hAnsi="Arial Narrow" w:cs="Times New Roman"/>
                <w:sz w:val="20"/>
                <w:szCs w:val="20"/>
              </w:rPr>
              <w:t>albicans</w:t>
            </w:r>
            <w:proofErr w:type="spellEnd"/>
            <w:r>
              <w:rPr>
                <w:rFonts w:ascii="Arial Narrow" w:hAnsi="Arial Narrow" w:cs="Times New Roman"/>
                <w:sz w:val="20"/>
                <w:szCs w:val="20"/>
              </w:rPr>
              <w:t xml:space="preserve"> 30 sek.</w:t>
            </w:r>
          </w:p>
          <w:p w:rsidR="00F56608" w:rsidRDefault="00F56608">
            <w:pPr>
              <w:jc w:val="both"/>
              <w:rPr>
                <w:rFonts w:ascii="Arial Narrow" w:hAnsi="Arial Narrow" w:cs="Times New Roman"/>
                <w:sz w:val="20"/>
                <w:szCs w:val="20"/>
              </w:rPr>
            </w:pPr>
            <w:r>
              <w:rPr>
                <w:rFonts w:ascii="Arial Narrow" w:hAnsi="Arial Narrow" w:cs="Times New Roman"/>
                <w:sz w:val="20"/>
                <w:szCs w:val="20"/>
              </w:rPr>
              <w:t>- działanie wirusobójcze:</w:t>
            </w:r>
          </w:p>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PN-EN 14476 </w:t>
            </w:r>
            <w:proofErr w:type="spellStart"/>
            <w:r>
              <w:rPr>
                <w:rFonts w:ascii="Arial Narrow" w:hAnsi="Arial Narrow" w:cs="Times New Roman"/>
                <w:sz w:val="20"/>
                <w:szCs w:val="20"/>
              </w:rPr>
              <w:t>Rotavirus</w:t>
            </w:r>
            <w:proofErr w:type="spellEnd"/>
            <w:r>
              <w:rPr>
                <w:rFonts w:ascii="Arial Narrow" w:hAnsi="Arial Narrow" w:cs="Times New Roman"/>
                <w:sz w:val="20"/>
                <w:szCs w:val="20"/>
              </w:rPr>
              <w:t xml:space="preserve"> 5 min., Influenza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type</w:t>
            </w:r>
            <w:proofErr w:type="spellEnd"/>
            <w:r>
              <w:rPr>
                <w:rFonts w:ascii="Arial Narrow" w:hAnsi="Arial Narrow" w:cs="Times New Roman"/>
                <w:sz w:val="20"/>
                <w:szCs w:val="20"/>
              </w:rPr>
              <w:t xml:space="preserve"> A/H1N1 10 sek., </w:t>
            </w:r>
            <w:proofErr w:type="spellStart"/>
            <w:r>
              <w:rPr>
                <w:rFonts w:ascii="Arial Narrow" w:hAnsi="Arial Narrow" w:cs="Times New Roman"/>
                <w:sz w:val="20"/>
                <w:szCs w:val="20"/>
              </w:rPr>
              <w:t>Norovirus</w:t>
            </w:r>
            <w:proofErr w:type="spellEnd"/>
            <w:r>
              <w:rPr>
                <w:rFonts w:ascii="Arial Narrow" w:hAnsi="Arial Narrow" w:cs="Times New Roman"/>
                <w:sz w:val="20"/>
                <w:szCs w:val="20"/>
              </w:rPr>
              <w:t xml:space="preserve"> 30 sek., </w:t>
            </w:r>
            <w:proofErr w:type="spellStart"/>
            <w:r>
              <w:rPr>
                <w:rFonts w:ascii="Arial Narrow" w:hAnsi="Arial Narrow" w:cs="Times New Roman"/>
                <w:sz w:val="20"/>
                <w:szCs w:val="20"/>
              </w:rPr>
              <w:t>Herpes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15 sek. Opakowanie, butelka 500 ml z pompką dozującą.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spacing w:line="259" w:lineRule="auto"/>
              <w:rPr>
                <w:rFonts w:ascii="Arial Narrow" w:hAnsi="Arial Narrow" w:cs="Times New Roman"/>
                <w:sz w:val="20"/>
                <w:szCs w:val="20"/>
              </w:rPr>
            </w:pPr>
          </w:p>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36</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1112"/>
        </w:trPr>
        <w:tc>
          <w:tcPr>
            <w:tcW w:w="425" w:type="dxa"/>
            <w:tcBorders>
              <w:top w:val="single" w:sz="4" w:space="0" w:color="000000"/>
              <w:left w:val="single" w:sz="8" w:space="0" w:color="000000"/>
              <w:bottom w:val="single" w:sz="8" w:space="0" w:color="000000"/>
              <w:right w:val="single" w:sz="4" w:space="0" w:color="000000"/>
            </w:tcBorders>
            <w:noWrap/>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25</w:t>
            </w:r>
          </w:p>
        </w:tc>
        <w:tc>
          <w:tcPr>
            <w:tcW w:w="6663" w:type="dxa"/>
            <w:tcBorders>
              <w:top w:val="single" w:sz="4" w:space="0" w:color="000000"/>
              <w:left w:val="nil"/>
              <w:bottom w:val="single" w:sz="8" w:space="0" w:color="000000"/>
              <w:right w:val="single" w:sz="4" w:space="0" w:color="auto"/>
            </w:tcBorders>
            <w:vAlign w:val="center"/>
            <w:hideMark/>
          </w:tcPr>
          <w:p w:rsidR="00F56608" w:rsidRDefault="00F56608">
            <w:pPr>
              <w:jc w:val="both"/>
              <w:rPr>
                <w:rFonts w:ascii="Arial Narrow" w:hAnsi="Arial Narrow" w:cs="Times New Roman"/>
                <w:sz w:val="20"/>
                <w:szCs w:val="20"/>
              </w:rPr>
            </w:pPr>
            <w:r>
              <w:rPr>
                <w:rFonts w:ascii="Arial Narrow" w:hAnsi="Arial Narrow" w:cs="Times New Roman"/>
                <w:sz w:val="20"/>
                <w:szCs w:val="20"/>
              </w:rPr>
              <w:t xml:space="preserve">Preparat enzymatyczny do pianowego i ręcznego mycia kotłów warzelnych, okapów filtrów oraz innych elementów wentylacyjnych. Do zastosowania na powierzchniach wykonanych z aluminium oraz metali kolorowych. Preparat rozpuszczający tłuszcze poprzez działanie enzymów także w instalacji kanalizacyjnej. Stężenie robocze od 2 do 4%. Preparat </w:t>
            </w:r>
            <w:r>
              <w:rPr>
                <w:rFonts w:ascii="Arial Narrow" w:hAnsi="Arial Narrow" w:cs="Times New Roman"/>
                <w:sz w:val="20"/>
                <w:szCs w:val="20"/>
              </w:rPr>
              <w:lastRenderedPageBreak/>
              <w:t xml:space="preserve">neutralny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6,5. Preparat zawierający enzymy (lipazy, proteazy, amylazy). Opakowanie kanister 5 kg. Preparat wytwarzany w standardzie ISO 13485. </w:t>
            </w:r>
          </w:p>
        </w:tc>
        <w:tc>
          <w:tcPr>
            <w:tcW w:w="1701" w:type="dxa"/>
            <w:tcBorders>
              <w:top w:val="single" w:sz="4" w:space="0" w:color="000000"/>
              <w:left w:val="single" w:sz="4" w:space="0" w:color="auto"/>
              <w:bottom w:val="single" w:sz="8" w:space="0" w:color="000000"/>
              <w:right w:val="single" w:sz="4" w:space="0" w:color="000000"/>
            </w:tcBorders>
            <w:vAlign w:val="center"/>
          </w:tcPr>
          <w:p w:rsidR="00F56608" w:rsidRDefault="00F56608">
            <w:pPr>
              <w:jc w:val="both"/>
              <w:rPr>
                <w:rFonts w:ascii="Arial Narrow" w:hAnsi="Arial Narrow" w:cs="Times New Roman"/>
                <w:sz w:val="20"/>
                <w:szCs w:val="20"/>
              </w:rPr>
            </w:pPr>
          </w:p>
        </w:tc>
        <w:tc>
          <w:tcPr>
            <w:tcW w:w="1072"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8" w:space="0" w:color="000000"/>
              <w:right w:val="single" w:sz="4" w:space="0" w:color="000000"/>
            </w:tcBorders>
            <w:vAlign w:val="center"/>
            <w:hideMark/>
          </w:tcPr>
          <w:p w:rsidR="00F56608" w:rsidRDefault="00F56608">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noWrap/>
            <w:vAlign w:val="center"/>
          </w:tcPr>
          <w:p w:rsidR="00F56608" w:rsidRDefault="00F56608">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noWrap/>
            <w:vAlign w:val="center"/>
          </w:tcPr>
          <w:p w:rsidR="00F56608" w:rsidRDefault="00F56608">
            <w:pPr>
              <w:jc w:val="center"/>
              <w:rPr>
                <w:rFonts w:ascii="Arial Narrow" w:hAnsi="Arial Narrow" w:cs="Times New Roman"/>
                <w:sz w:val="20"/>
                <w:szCs w:val="20"/>
              </w:rPr>
            </w:pPr>
          </w:p>
        </w:tc>
      </w:tr>
      <w:tr w:rsidR="00F56608" w:rsidTr="00042D95">
        <w:trPr>
          <w:trHeight w:val="315"/>
        </w:trPr>
        <w:tc>
          <w:tcPr>
            <w:tcW w:w="425" w:type="dxa"/>
            <w:noWrap/>
            <w:vAlign w:val="bottom"/>
            <w:hideMark/>
          </w:tcPr>
          <w:p w:rsidR="00F56608" w:rsidRDefault="00F56608">
            <w:pPr>
              <w:rPr>
                <w:rFonts w:ascii="Arial Narrow" w:hAnsi="Arial Narrow" w:cs="Times New Roman"/>
                <w:sz w:val="20"/>
                <w:szCs w:val="20"/>
              </w:rPr>
            </w:pPr>
          </w:p>
        </w:tc>
        <w:tc>
          <w:tcPr>
            <w:tcW w:w="8364" w:type="dxa"/>
            <w:gridSpan w:val="2"/>
            <w:noWrap/>
            <w:vAlign w:val="bottom"/>
            <w:hideMark/>
          </w:tcPr>
          <w:p w:rsidR="00F56608" w:rsidRDefault="00F56608">
            <w:pPr>
              <w:spacing w:after="0"/>
              <w:rPr>
                <w:sz w:val="20"/>
                <w:szCs w:val="20"/>
                <w:lang w:eastAsia="pl-PL"/>
              </w:rPr>
            </w:pPr>
          </w:p>
        </w:tc>
        <w:tc>
          <w:tcPr>
            <w:tcW w:w="1072" w:type="dxa"/>
            <w:noWrap/>
            <w:vAlign w:val="bottom"/>
            <w:hideMark/>
          </w:tcPr>
          <w:p w:rsidR="00F56608" w:rsidRDefault="00F56608">
            <w:pPr>
              <w:spacing w:after="0"/>
              <w:rPr>
                <w:sz w:val="20"/>
                <w:szCs w:val="20"/>
                <w:lang w:eastAsia="pl-PL"/>
              </w:rPr>
            </w:pPr>
          </w:p>
        </w:tc>
        <w:tc>
          <w:tcPr>
            <w:tcW w:w="1134" w:type="dxa"/>
            <w:tcBorders>
              <w:top w:val="nil"/>
              <w:left w:val="nil"/>
              <w:bottom w:val="nil"/>
              <w:right w:val="single" w:sz="4" w:space="0" w:color="auto"/>
            </w:tcBorders>
            <w:noWrap/>
            <w:vAlign w:val="bottom"/>
            <w:hideMark/>
          </w:tcPr>
          <w:p w:rsidR="00F56608" w:rsidRDefault="00F56608">
            <w:pPr>
              <w:spacing w:after="0"/>
              <w:rPr>
                <w:sz w:val="20"/>
                <w:szCs w:val="20"/>
                <w:lang w:eastAsia="pl-PL"/>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F56608" w:rsidRDefault="00F56608">
            <w:pPr>
              <w:rPr>
                <w:rFonts w:ascii="Arial Narrow" w:hAnsi="Arial Narrow" w:cs="Times New Roman"/>
                <w:sz w:val="20"/>
                <w:szCs w:val="20"/>
              </w:rPr>
            </w:pPr>
            <w:r>
              <w:rPr>
                <w:rFonts w:ascii="Arial Narrow" w:hAnsi="Arial Narrow" w:cs="Times New Roman"/>
                <w:sz w:val="20"/>
                <w:szCs w:val="20"/>
              </w:rPr>
              <w:t>RAZEM</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56608" w:rsidRDefault="00F56608">
            <w:pPr>
              <w:rPr>
                <w:rFonts w:ascii="Arial Narrow" w:hAnsi="Arial Narrow" w:cs="Times New Roman"/>
                <w:sz w:val="20"/>
                <w:szCs w:val="20"/>
              </w:rPr>
            </w:pP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F56608" w:rsidRDefault="00F56608">
            <w:pPr>
              <w:spacing w:after="0"/>
              <w:rPr>
                <w:sz w:val="20"/>
                <w:szCs w:val="20"/>
                <w:lang w:eastAsia="pl-PL"/>
              </w:rPr>
            </w:pPr>
          </w:p>
        </w:tc>
        <w:tc>
          <w:tcPr>
            <w:tcW w:w="1612" w:type="dxa"/>
            <w:tcBorders>
              <w:top w:val="single" w:sz="4" w:space="0" w:color="auto"/>
              <w:left w:val="single" w:sz="4" w:space="0" w:color="auto"/>
              <w:bottom w:val="single" w:sz="4" w:space="0" w:color="auto"/>
              <w:right w:val="single" w:sz="4" w:space="0" w:color="auto"/>
            </w:tcBorders>
            <w:noWrap/>
            <w:vAlign w:val="bottom"/>
            <w:hideMark/>
          </w:tcPr>
          <w:p w:rsidR="00F56608" w:rsidRDefault="00F56608">
            <w:pPr>
              <w:spacing w:after="0"/>
              <w:rPr>
                <w:sz w:val="20"/>
                <w:szCs w:val="20"/>
                <w:lang w:eastAsia="pl-PL"/>
              </w:rPr>
            </w:pPr>
          </w:p>
        </w:tc>
      </w:tr>
    </w:tbl>
    <w:p w:rsidR="00F56608" w:rsidRDefault="00F56608" w:rsidP="00F56608">
      <w:pPr>
        <w:spacing w:after="0" w:line="240" w:lineRule="auto"/>
        <w:jc w:val="both"/>
        <w:rPr>
          <w:rFonts w:ascii="Arial Narrow" w:hAnsi="Arial Narrow"/>
        </w:rPr>
      </w:pPr>
    </w:p>
    <w:p w:rsidR="00F56608" w:rsidRDefault="00F56608" w:rsidP="00F56608">
      <w:pPr>
        <w:spacing w:after="0" w:line="240" w:lineRule="auto"/>
        <w:jc w:val="both"/>
        <w:rPr>
          <w:rFonts w:ascii="Arial Narrow" w:hAnsi="Arial Narrow"/>
        </w:rPr>
      </w:pPr>
      <w:r>
        <w:rPr>
          <w:rFonts w:ascii="Arial Narrow" w:hAnsi="Arial Narrow"/>
        </w:rPr>
        <w:t>Wykonawca zobowiązany jest do bezpłatnego dostarczenia Zamawiającemu instalacji oraz serwisowania w trakcie umowy systemów dozowania:</w:t>
      </w:r>
    </w:p>
    <w:p w:rsidR="00F56608" w:rsidRDefault="00F56608" w:rsidP="00F56608">
      <w:pPr>
        <w:spacing w:after="0" w:line="240" w:lineRule="auto"/>
        <w:jc w:val="right"/>
        <w:rPr>
          <w:rFonts w:ascii="Arial Narrow" w:hAnsi="Arial Narrow" w:cs="Times New Roman"/>
          <w:snapToGrid w:val="0"/>
          <w:sz w:val="20"/>
          <w:szCs w:val="20"/>
        </w:rPr>
      </w:pPr>
    </w:p>
    <w:p w:rsidR="00F56608" w:rsidRDefault="00F56608" w:rsidP="00F56608">
      <w:pPr>
        <w:pStyle w:val="Akapitzlist"/>
        <w:numPr>
          <w:ilvl w:val="0"/>
          <w:numId w:val="1"/>
        </w:numPr>
        <w:spacing w:after="0" w:line="240" w:lineRule="auto"/>
        <w:ind w:left="426"/>
        <w:jc w:val="both"/>
        <w:rPr>
          <w:rFonts w:ascii="Arial Narrow" w:hAnsi="Arial Narrow"/>
        </w:rPr>
      </w:pPr>
      <w:r>
        <w:rPr>
          <w:rFonts w:ascii="Arial Narrow" w:hAnsi="Arial Narrow"/>
        </w:rPr>
        <w:t>Dozowniki łokciowe do preparatów z pozycji nr 22 i 23. Dozowniki wykonane w całości ze stali nierdzewnej. Nadające się do całkowitej sterylizacji w ilości 22 dozowników.</w:t>
      </w:r>
    </w:p>
    <w:p w:rsidR="00F56608" w:rsidRDefault="00F56608" w:rsidP="00F56608">
      <w:pPr>
        <w:pStyle w:val="Akapitzlist"/>
        <w:numPr>
          <w:ilvl w:val="0"/>
          <w:numId w:val="1"/>
        </w:numPr>
        <w:spacing w:after="0" w:line="240" w:lineRule="auto"/>
        <w:ind w:left="426"/>
        <w:jc w:val="both"/>
        <w:rPr>
          <w:rFonts w:ascii="Arial Narrow" w:hAnsi="Arial Narrow"/>
        </w:rPr>
      </w:pPr>
      <w:r>
        <w:rPr>
          <w:rFonts w:ascii="Arial Narrow" w:hAnsi="Arial Narrow"/>
        </w:rPr>
        <w:t>System dozowania mocowany do ściany umożliwiający precyzyjne dozowanie preparatu do mycia ręcznego z pozycji 15 w ilości 5 szt.</w:t>
      </w:r>
    </w:p>
    <w:p w:rsidR="00F56608" w:rsidRDefault="00F56608" w:rsidP="00F56608">
      <w:pPr>
        <w:pStyle w:val="Akapitzlist"/>
        <w:numPr>
          <w:ilvl w:val="0"/>
          <w:numId w:val="1"/>
        </w:numPr>
        <w:spacing w:after="0" w:line="240" w:lineRule="auto"/>
        <w:ind w:left="426"/>
        <w:jc w:val="both"/>
        <w:rPr>
          <w:rFonts w:ascii="Arial Narrow" w:hAnsi="Arial Narrow"/>
        </w:rPr>
      </w:pPr>
      <w:r>
        <w:rPr>
          <w:rFonts w:ascii="Arial Narrow" w:hAnsi="Arial Narrow"/>
          <w:color w:val="000000"/>
        </w:rPr>
        <w:t xml:space="preserve">System nisko ciśnieniowego mycia i dezynfekcji powierzchni w kuchni. System instalowany na ścianie umożliwiający automatyczne dozowanie preparatu z pozycji numer 1 i 2. Aparat wyposażony w wąż min. 15 metrów oraz pistolet natryskowy. Aparat posiadający funkcję mycia roztworem preparatu numer 1 i 2 oraz spłukiwania czystą wodą. Urządzenie zaopatrzone w zamykane szafki na kanistry. Ilość urządzeń do zainstalowania - 5 szt. </w:t>
      </w:r>
    </w:p>
    <w:p w:rsidR="00F56608" w:rsidRDefault="00F56608" w:rsidP="00F56608">
      <w:pPr>
        <w:pStyle w:val="Akapitzlist"/>
        <w:numPr>
          <w:ilvl w:val="0"/>
          <w:numId w:val="1"/>
        </w:numPr>
        <w:spacing w:after="0" w:line="240" w:lineRule="auto"/>
        <w:ind w:left="426"/>
        <w:jc w:val="both"/>
        <w:rPr>
          <w:rFonts w:ascii="Arial Narrow" w:hAnsi="Arial Narrow"/>
        </w:rPr>
      </w:pPr>
      <w:r>
        <w:rPr>
          <w:rFonts w:ascii="Arial Narrow" w:hAnsi="Arial Narrow"/>
          <w:color w:val="000000"/>
        </w:rPr>
        <w:t xml:space="preserve">Mobilny system do </w:t>
      </w:r>
      <w:proofErr w:type="spellStart"/>
      <w:r>
        <w:rPr>
          <w:rFonts w:ascii="Arial Narrow" w:hAnsi="Arial Narrow"/>
          <w:color w:val="000000"/>
        </w:rPr>
        <w:t>pianowania</w:t>
      </w:r>
      <w:proofErr w:type="spellEnd"/>
      <w:r>
        <w:rPr>
          <w:rFonts w:ascii="Arial Narrow" w:hAnsi="Arial Narrow"/>
          <w:color w:val="000000"/>
        </w:rPr>
        <w:t xml:space="preserve"> kotłów warzelnych (urządzenie umieszczone na wózku wraz z preparatem myjącym). System umożliwiający nanoszenie piany na myte powierzchnie za pomocą pistoletu oraz spłukiwanie powierzchni czysta wodą. Aparat zaopatrzony w wąż o długości 10 m- 1 szt. </w:t>
      </w:r>
    </w:p>
    <w:p w:rsidR="00F56608" w:rsidRDefault="00F56608" w:rsidP="00F56608">
      <w:pPr>
        <w:pStyle w:val="Akapitzlist"/>
        <w:numPr>
          <w:ilvl w:val="0"/>
          <w:numId w:val="1"/>
        </w:numPr>
        <w:spacing w:after="0" w:line="240" w:lineRule="auto"/>
        <w:ind w:left="426"/>
        <w:jc w:val="both"/>
        <w:rPr>
          <w:rFonts w:ascii="Arial Narrow" w:hAnsi="Arial Narrow"/>
        </w:rPr>
      </w:pPr>
      <w:r>
        <w:rPr>
          <w:rFonts w:ascii="Arial Narrow" w:hAnsi="Arial Narrow"/>
          <w:color w:val="000000"/>
        </w:rPr>
        <w:t xml:space="preserve">System dozowania do zmywarki tunelowej z sondą konduktometryczną. System dozowania do preparatów z pozycji numer 5 i 8. Dozownik wyposażony w sygnalizację dźwiękową braku detergentu oraz sygnalizator świetlny umieszczony w miejscu widocznym dla osób obsługujących zmywarkę. Ilość urządzeń - 1 szt. </w:t>
      </w:r>
    </w:p>
    <w:p w:rsidR="00F56608" w:rsidRDefault="00F56608" w:rsidP="00F56608">
      <w:pPr>
        <w:pStyle w:val="Akapitzlist"/>
        <w:numPr>
          <w:ilvl w:val="0"/>
          <w:numId w:val="1"/>
        </w:numPr>
        <w:spacing w:after="0" w:line="240" w:lineRule="auto"/>
        <w:ind w:left="426"/>
        <w:jc w:val="both"/>
        <w:rPr>
          <w:rFonts w:ascii="Arial Narrow" w:hAnsi="Arial Narrow"/>
        </w:rPr>
      </w:pPr>
      <w:r>
        <w:rPr>
          <w:rFonts w:ascii="Arial Narrow" w:hAnsi="Arial Narrow"/>
          <w:color w:val="000000"/>
        </w:rPr>
        <w:t>System dozowania do zmywarki kapturowej z sondą konduktometryczną. System dozowania do preparatów z pozycji numer 6 i 8. Dozownik wyposażony w sygnalizację dźwiękową braku detergentu. Ilość urządzeń - 2 szt.</w:t>
      </w:r>
    </w:p>
    <w:p w:rsidR="00F56608" w:rsidRDefault="00F56608" w:rsidP="00F56608">
      <w:pPr>
        <w:spacing w:after="0" w:line="240" w:lineRule="auto"/>
        <w:rPr>
          <w:rFonts w:ascii="Arial Narrow" w:eastAsia="Times New Roman" w:hAnsi="Arial Narrow" w:cs="Arial"/>
          <w:b/>
          <w:sz w:val="20"/>
          <w:szCs w:val="20"/>
          <w:lang w:eastAsia="pl-PL"/>
        </w:rPr>
      </w:pPr>
    </w:p>
    <w:p w:rsidR="00F56608" w:rsidRDefault="00F56608" w:rsidP="00F56608">
      <w:pPr>
        <w:spacing w:after="0" w:line="240" w:lineRule="auto"/>
        <w:rPr>
          <w:rFonts w:ascii="Arial Narrow" w:eastAsia="Times New Roman" w:hAnsi="Arial Narrow" w:cs="Arial"/>
          <w:b/>
          <w:sz w:val="20"/>
          <w:szCs w:val="20"/>
          <w:lang w:eastAsia="pl-PL"/>
        </w:rPr>
      </w:pPr>
    </w:p>
    <w:p w:rsidR="00F56608" w:rsidRDefault="00F56608" w:rsidP="00F56608">
      <w:pPr>
        <w:jc w:val="both"/>
        <w:rPr>
          <w:sz w:val="18"/>
          <w:szCs w:val="18"/>
        </w:rPr>
      </w:pPr>
      <w:r>
        <w:rPr>
          <w:sz w:val="18"/>
          <w:szCs w:val="18"/>
        </w:rPr>
        <w:t>.</w:t>
      </w:r>
      <w:r w:rsidR="00042D95">
        <w:rPr>
          <w:sz w:val="18"/>
          <w:szCs w:val="18"/>
        </w:rPr>
        <w:t>.........................</w:t>
      </w:r>
      <w:r w:rsidR="00CA56B9">
        <w:rPr>
          <w:sz w:val="18"/>
          <w:szCs w:val="18"/>
        </w:rPr>
        <w:tab/>
      </w:r>
      <w:r w:rsidR="00CA56B9">
        <w:rPr>
          <w:sz w:val="18"/>
          <w:szCs w:val="18"/>
        </w:rPr>
        <w:tab/>
      </w:r>
      <w:r w:rsidR="00CA56B9">
        <w:rPr>
          <w:sz w:val="18"/>
          <w:szCs w:val="18"/>
        </w:rPr>
        <w:tab/>
      </w:r>
      <w:r w:rsidR="00CA56B9">
        <w:rPr>
          <w:sz w:val="18"/>
          <w:szCs w:val="18"/>
        </w:rPr>
        <w:tab/>
      </w:r>
      <w:r w:rsidR="00CA56B9">
        <w:rPr>
          <w:sz w:val="18"/>
          <w:szCs w:val="18"/>
        </w:rPr>
        <w:tab/>
      </w:r>
      <w:r w:rsidR="00CA56B9">
        <w:rPr>
          <w:sz w:val="18"/>
          <w:szCs w:val="18"/>
        </w:rPr>
        <w:tab/>
      </w:r>
      <w:r w:rsidR="00CA56B9">
        <w:rPr>
          <w:sz w:val="18"/>
          <w:szCs w:val="18"/>
        </w:rPr>
        <w:tab/>
      </w:r>
      <w:r w:rsidR="00CA56B9">
        <w:rPr>
          <w:sz w:val="18"/>
          <w:szCs w:val="18"/>
        </w:rPr>
        <w:tab/>
      </w:r>
      <w:r w:rsidR="00CA56B9">
        <w:rPr>
          <w:sz w:val="18"/>
          <w:szCs w:val="18"/>
        </w:rPr>
        <w:tab/>
      </w:r>
      <w:r>
        <w:rPr>
          <w:sz w:val="18"/>
          <w:szCs w:val="18"/>
        </w:rPr>
        <w:tab/>
      </w:r>
      <w:r>
        <w:rPr>
          <w:sz w:val="18"/>
          <w:szCs w:val="18"/>
        </w:rPr>
        <w:tab/>
        <w:t xml:space="preserve">         ..................................................................................................</w:t>
      </w:r>
    </w:p>
    <w:p w:rsidR="00F56608" w:rsidRDefault="00CA56B9" w:rsidP="00CA56B9">
      <w:pPr>
        <w:spacing w:before="240"/>
        <w:jc w:val="both"/>
        <w:rPr>
          <w:sz w:val="18"/>
          <w:szCs w:val="18"/>
        </w:rPr>
      </w:pPr>
      <w:r>
        <w:rPr>
          <w:sz w:val="18"/>
          <w:szCs w:val="18"/>
        </w:rPr>
        <w:t>miejscowość, data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bookmarkStart w:id="0" w:name="_GoBack"/>
      <w:bookmarkEnd w:id="0"/>
      <w:r w:rsidR="00F56608">
        <w:rPr>
          <w:sz w:val="18"/>
          <w:szCs w:val="18"/>
        </w:rPr>
        <w:t>podpis osoby upoważnionej do reprezentacji wykonawcy</w:t>
      </w:r>
    </w:p>
    <w:p w:rsidR="0035577A" w:rsidRDefault="0035577A"/>
    <w:sectPr w:rsidR="0035577A" w:rsidSect="00F5660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35457"/>
    <w:multiLevelType w:val="hybridMultilevel"/>
    <w:tmpl w:val="C156B62A"/>
    <w:lvl w:ilvl="0" w:tplc="933AC542">
      <w:start w:val="1"/>
      <w:numFmt w:val="decimal"/>
      <w:lvlText w:val="%1."/>
      <w:lvlJc w:val="left"/>
      <w:pPr>
        <w:ind w:left="121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08"/>
    <w:rsid w:val="00042D95"/>
    <w:rsid w:val="0035577A"/>
    <w:rsid w:val="008D5F57"/>
    <w:rsid w:val="00CA56B9"/>
    <w:rsid w:val="00F5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FCCC-6E0D-4E37-AAE1-12CA00B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60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56608"/>
    <w:pPr>
      <w:spacing w:after="120"/>
    </w:pPr>
  </w:style>
  <w:style w:type="character" w:customStyle="1" w:styleId="TekstpodstawowyZnak">
    <w:name w:val="Tekst podstawowy Znak"/>
    <w:basedOn w:val="Domylnaczcionkaakapitu"/>
    <w:link w:val="Tekstpodstawowy"/>
    <w:uiPriority w:val="99"/>
    <w:semiHidden/>
    <w:rsid w:val="00F56608"/>
  </w:style>
  <w:style w:type="character" w:customStyle="1" w:styleId="AkapitzlistZnak">
    <w:name w:val="Akapit z listą Znak"/>
    <w:aliases w:val="sw tekst Znak"/>
    <w:basedOn w:val="Domylnaczcionkaakapitu"/>
    <w:link w:val="Akapitzlist"/>
    <w:locked/>
    <w:rsid w:val="00F56608"/>
  </w:style>
  <w:style w:type="paragraph" w:styleId="Akapitzlist">
    <w:name w:val="List Paragraph"/>
    <w:aliases w:val="sw tekst"/>
    <w:basedOn w:val="Normalny"/>
    <w:link w:val="AkapitzlistZnak"/>
    <w:qFormat/>
    <w:rsid w:val="00F56608"/>
    <w:pPr>
      <w:ind w:left="720"/>
      <w:contextualSpacing/>
    </w:pPr>
  </w:style>
  <w:style w:type="paragraph" w:styleId="Tekstdymka">
    <w:name w:val="Balloon Text"/>
    <w:basedOn w:val="Normalny"/>
    <w:link w:val="TekstdymkaZnak"/>
    <w:uiPriority w:val="99"/>
    <w:semiHidden/>
    <w:unhideWhenUsed/>
    <w:rsid w:val="00042D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3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1792</Words>
  <Characters>10756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4</cp:revision>
  <cp:lastPrinted>2018-09-21T11:23:00Z</cp:lastPrinted>
  <dcterms:created xsi:type="dcterms:W3CDTF">2018-09-21T10:06:00Z</dcterms:created>
  <dcterms:modified xsi:type="dcterms:W3CDTF">2018-09-21T11:23:00Z</dcterms:modified>
</cp:coreProperties>
</file>