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lastRenderedPageBreak/>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lastRenderedPageBreak/>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medyczna 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badawcza 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w:t>
      </w:r>
      <w:r w:rsidRPr="00D1380A">
        <w:rPr>
          <w:rFonts w:ascii="Arial Narrow" w:hAnsi="Arial Narrow" w:cs="Times New Roman"/>
        </w:rPr>
        <w:lastRenderedPageBreak/>
        <w:t>271-2-</w:t>
      </w:r>
      <w:r w:rsidR="006D2E14">
        <w:rPr>
          <w:rFonts w:ascii="Arial Narrow" w:hAnsi="Arial Narrow" w:cs="Times New Roman"/>
        </w:rPr>
        <w:t>12</w:t>
      </w:r>
      <w:r w:rsidR="00CD70E8">
        <w:rPr>
          <w:rFonts w:ascii="Arial Narrow" w:hAnsi="Arial Narrow" w:cs="Times New Roman"/>
        </w:rPr>
        <w:t>5</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t>
      </w:r>
      <w:r w:rsidRPr="00D1380A">
        <w:rPr>
          <w:rFonts w:ascii="Arial Narrow" w:hAnsi="Arial Narrow" w:cs="Times New Roman"/>
        </w:rPr>
        <w:lastRenderedPageBreak/>
        <w:t>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lastRenderedPageBreak/>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lastRenderedPageBreak/>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lastRenderedPageBreak/>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lastRenderedPageBreak/>
        <w:t>Dotyczy Zadania I:</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7E7564">
      <w:pPr>
        <w:numPr>
          <w:ilvl w:val="0"/>
          <w:numId w:val="66"/>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lastRenderedPageBreak/>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A3727">
        <w:rPr>
          <w:rFonts w:ascii="Arial Narrow" w:hAnsi="Arial Narrow" w:cs="Times New Roman"/>
          <w:bCs/>
        </w:rPr>
        <w:t xml:space="preserve"> </w:t>
      </w:r>
      <w:r w:rsidR="00AD2606">
        <w:rPr>
          <w:rFonts w:ascii="Arial Narrow" w:hAnsi="Arial Narrow" w:cs="Times New Roman"/>
          <w:bCs/>
        </w:rPr>
        <w:t>w siedzibie zamawiającego</w:t>
      </w:r>
      <w:r w:rsidR="00AA3727">
        <w:rPr>
          <w:rFonts w:ascii="Arial Narrow" w:hAnsi="Arial Narrow" w:cs="Times New Roman"/>
          <w:bCs/>
        </w:rPr>
        <w:t xml:space="preserve"> w przypadku b</w:t>
      </w:r>
      <w:r w:rsidR="00240A9C">
        <w:rPr>
          <w:rFonts w:ascii="Arial Narrow" w:hAnsi="Arial Narrow" w:cs="Times New Roman"/>
          <w:bCs/>
        </w:rPr>
        <w:t>r</w:t>
      </w:r>
      <w:r w:rsidR="00AA3727">
        <w:rPr>
          <w:rFonts w:ascii="Arial Narrow" w:hAnsi="Arial Narrow" w:cs="Times New Roman"/>
          <w:bCs/>
        </w:rPr>
        <w:t>aku konieczności sprowadzenia części zamiennych</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sidR="00240A9C">
        <w:rPr>
          <w:rFonts w:ascii="Arial Narrow" w:hAnsi="Arial Narrow" w:cs="Times New Roman"/>
          <w:bCs/>
        </w:rPr>
        <w:t>.</w:t>
      </w:r>
    </w:p>
    <w:p w:rsidR="00240A9C" w:rsidRDefault="00240A9C" w:rsidP="009159A3">
      <w:pPr>
        <w:spacing w:line="276" w:lineRule="auto"/>
        <w:jc w:val="both"/>
        <w:rPr>
          <w:rFonts w:ascii="Arial Narrow" w:hAnsi="Arial Narrow" w:cs="Times New Roman"/>
          <w:bCs/>
        </w:rPr>
      </w:pPr>
      <w:r>
        <w:rPr>
          <w:rFonts w:ascii="Arial Narrow" w:hAnsi="Arial Narrow" w:cs="Times New Roman"/>
          <w:bCs/>
        </w:rPr>
        <w:t>Oświadczamy, że czas naprawy  w siedzibie zamawiającego w przypadku konieczności sprowadzenia części zamiennych spoza Polski będzie wynosił ……. dni roboczych (maksymalnie 5 dni roboczych ) od zgłoszenia reklamacji, a w przypadku konieczności sprowadzenia części zamiennych spoza UE będzie wynosił …………. dni roboczych (maksymalnie 7 dni roboczych)</w:t>
      </w:r>
      <w:r w:rsidR="00667E4C">
        <w:rPr>
          <w:rFonts w:ascii="Arial Narrow" w:hAnsi="Arial Narrow" w:cs="Times New Roman"/>
          <w:bCs/>
        </w:rPr>
        <w:t xml:space="preserve"> od zgłoszenia reklamacji</w:t>
      </w:r>
      <w:r>
        <w:rPr>
          <w:rFonts w:ascii="Arial Narrow" w:hAnsi="Arial Narrow" w:cs="Times New Roman"/>
          <w:bCs/>
        </w:rPr>
        <w:t>.</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lastRenderedPageBreak/>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2"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Wysokiej klasy aparat ultrasonograficzny z kolorowym </w:t>
            </w:r>
            <w:proofErr w:type="spellStart"/>
            <w:r>
              <w:rPr>
                <w:rFonts w:ascii="Arial Narrow" w:hAnsi="Arial Narrow" w:cstheme="minorHAnsi"/>
                <w:bCs/>
                <w:sz w:val="20"/>
                <w:szCs w:val="20"/>
              </w:rPr>
              <w:t>dopplerem</w:t>
            </w:r>
            <w:proofErr w:type="spellEnd"/>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2"/>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3"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9E4A62">
        <w:tc>
          <w:tcPr>
            <w:tcW w:w="709"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463311">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Aparat fabrycznie nowy, nieużywany, </w:t>
            </w:r>
            <w:proofErr w:type="spellStart"/>
            <w:r w:rsidRPr="002A42B1">
              <w:rPr>
                <w:rFonts w:ascii="Arial Narrow" w:hAnsi="Arial Narrow" w:cstheme="minorHAnsi"/>
                <w:sz w:val="20"/>
                <w:szCs w:val="20"/>
              </w:rPr>
              <w:t>nierekondycjonowany</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niepowystawowy</w:t>
            </w:r>
            <w:proofErr w:type="spellEnd"/>
            <w:r w:rsidRPr="002A42B1">
              <w:rPr>
                <w:rFonts w:ascii="Arial Narrow" w:hAnsi="Arial Narrow" w:cstheme="minorHAnsi"/>
                <w:sz w:val="20"/>
                <w:szCs w:val="20"/>
              </w:rPr>
              <w:t>,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D36DD1">
        <w:trPr>
          <w:trHeight w:val="12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36DD1">
        <w:trPr>
          <w:trHeight w:val="24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13991">
        <w:tc>
          <w:tcPr>
            <w:tcW w:w="709"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both"/>
              <w:rPr>
                <w:rFonts w:ascii="Arial Narrow" w:hAnsi="Arial Narrow" w:cstheme="minorHAnsi"/>
                <w:sz w:val="20"/>
                <w:szCs w:val="20"/>
              </w:rPr>
            </w:pPr>
            <w:r w:rsidRPr="002A42B1">
              <w:rPr>
                <w:rFonts w:ascii="Arial Narrow" w:hAnsi="Arial Narrow" w:cstheme="minorHAnsi"/>
                <w:sz w:val="20"/>
                <w:szCs w:val="20"/>
              </w:rPr>
              <w:t>Panel dotykowy LCD min 12”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Liczba obrazów pamięci dynamicznej (</w:t>
            </w:r>
            <w:proofErr w:type="spellStart"/>
            <w:r w:rsidRPr="002A42B1">
              <w:rPr>
                <w:rFonts w:ascii="Arial Narrow" w:hAnsi="Arial Narrow"/>
                <w:sz w:val="20"/>
                <w:szCs w:val="20"/>
              </w:rPr>
              <w:t>cineloop</w:t>
            </w:r>
            <w:proofErr w:type="spellEnd"/>
            <w:r w:rsidRPr="002A42B1">
              <w:rPr>
                <w:rFonts w:ascii="Arial Narrow" w:hAnsi="Arial Narrow"/>
                <w:sz w:val="20"/>
                <w:szCs w:val="20"/>
              </w:rPr>
              <w:t xml:space="preserve">)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dB</w:t>
            </w:r>
            <w:proofErr w:type="spellEnd"/>
            <w:r w:rsidRPr="002A42B1">
              <w:rPr>
                <w:rFonts w:ascii="Arial Narrow" w:hAnsi="Arial Narrow" w:cstheme="minorHAnsi"/>
                <w:sz w:val="20"/>
                <w:szCs w:val="20"/>
              </w:rPr>
              <w:t>.</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 xml:space="preserve">Napęd CD/DVD do archiwizacji w formatach </w:t>
            </w:r>
            <w:proofErr w:type="spellStart"/>
            <w:r w:rsidRPr="002A42B1">
              <w:rPr>
                <w:rFonts w:ascii="Arial Narrow" w:hAnsi="Arial Narrow" w:cstheme="minorHAnsi"/>
                <w:sz w:val="20"/>
                <w:szCs w:val="20"/>
              </w:rPr>
              <w:t>jpeg</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avi</w:t>
            </w:r>
            <w:proofErr w:type="spellEnd"/>
            <w:r w:rsidRPr="002A42B1">
              <w:rPr>
                <w:rFonts w:ascii="Arial Narrow" w:hAnsi="Arial Narrow" w:cstheme="minorHAnsi"/>
                <w:sz w:val="20"/>
                <w:szCs w:val="20"/>
              </w:rPr>
              <w:t>,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proofErr w:type="spellStart"/>
            <w:r w:rsidRPr="002A42B1">
              <w:rPr>
                <w:rFonts w:ascii="Arial Narrow" w:hAnsi="Arial Narrow" w:cstheme="minorHAnsi"/>
                <w:sz w:val="20"/>
                <w:szCs w:val="20"/>
              </w:rPr>
              <w:t>Videoprinter</w:t>
            </w:r>
            <w:proofErr w:type="spellEnd"/>
            <w:r w:rsidRPr="002A42B1">
              <w:rPr>
                <w:rFonts w:ascii="Arial Narrow" w:hAnsi="Arial Narrow" w:cstheme="minorHAnsi"/>
                <w:sz w:val="20"/>
                <w:szCs w:val="20"/>
              </w:rPr>
              <w:t xml:space="preserve">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242DD3" w:rsidRPr="002A42B1"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obr/s.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proofErr w:type="spellStart"/>
            <w:r w:rsidRPr="002A42B1">
              <w:rPr>
                <w:rFonts w:ascii="Arial Narrow" w:hAnsi="Arial Narrow"/>
                <w:sz w:val="20"/>
                <w:szCs w:val="20"/>
              </w:rPr>
              <w:t>Color</w:t>
            </w:r>
            <w:proofErr w:type="spellEnd"/>
            <w:r w:rsidRPr="002A42B1">
              <w:rPr>
                <w:rFonts w:ascii="Arial Narrow" w:hAnsi="Arial Narrow"/>
                <w:sz w:val="20"/>
                <w:szCs w:val="20"/>
              </w:rPr>
              <w:t xml:space="preserve">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2A41C7">
        <w:tc>
          <w:tcPr>
            <w:tcW w:w="709"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40A9C"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240A9C">
              <w:rPr>
                <w:rFonts w:ascii="Arial Narrow" w:eastAsia="Meiryo UI" w:hAnsi="Arial Narrow"/>
                <w:sz w:val="20"/>
                <w:szCs w:val="20"/>
              </w:rPr>
              <w:t>/NIE</w:t>
            </w:r>
          </w:p>
          <w:p w:rsidR="002A41C7" w:rsidRPr="002A42B1" w:rsidRDefault="00240A9C" w:rsidP="003B2419">
            <w:pPr>
              <w:snapToGrid w:val="0"/>
              <w:spacing w:after="0" w:line="240" w:lineRule="auto"/>
              <w:jc w:val="center"/>
              <w:rPr>
                <w:rFonts w:ascii="Arial Narrow" w:eastAsia="Meiryo UI" w:hAnsi="Arial Narrow"/>
                <w:sz w:val="20"/>
                <w:szCs w:val="20"/>
              </w:rPr>
            </w:pPr>
            <w:r>
              <w:rPr>
                <w:rFonts w:ascii="Arial Narrow" w:eastAsia="Meiryo UI" w:hAnsi="Arial Narrow"/>
                <w:sz w:val="20"/>
                <w:szCs w:val="20"/>
              </w:rPr>
              <w:t>PODAĆ</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i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3B2419">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z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z archiwum oraz krzywoliniowy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3B2419">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3B2419">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AA3727">
        <w:tc>
          <w:tcPr>
            <w:tcW w:w="709"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47303E"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spacing w:after="0" w:line="240" w:lineRule="auto"/>
              <w:jc w:val="both"/>
              <w:rPr>
                <w:rFonts w:ascii="Arial Narrow" w:hAnsi="Arial Narrow" w:cstheme="minorHAnsi"/>
                <w:sz w:val="20"/>
                <w:szCs w:val="20"/>
              </w:rPr>
            </w:pPr>
            <w:r>
              <w:rPr>
                <w:rFonts w:ascii="Arial Narrow" w:hAnsi="Arial Narrow" w:cstheme="minorHAnsi"/>
                <w:sz w:val="20"/>
                <w:szCs w:val="20"/>
              </w:rPr>
              <w:t>Podwójna bramka dopplerowska</w:t>
            </w:r>
            <w:r w:rsidR="00F75282">
              <w:rPr>
                <w:rFonts w:ascii="Arial Narrow" w:hAnsi="Arial Narrow" w:cstheme="minorHAnsi"/>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47303E" w:rsidRDefault="00F75282" w:rsidP="003B2419">
            <w:pPr>
              <w:spacing w:after="0" w:line="240" w:lineRule="auto"/>
              <w:jc w:val="center"/>
              <w:rPr>
                <w:rFonts w:ascii="Arial Narrow" w:hAnsi="Arial Narrow" w:cstheme="minorHAnsi"/>
                <w:sz w:val="20"/>
                <w:szCs w:val="20"/>
              </w:rPr>
            </w:pPr>
            <w:r>
              <w:rPr>
                <w:rFonts w:ascii="Arial Narrow" w:hAnsi="Arial Narrow" w:cstheme="minorHAnsi"/>
                <w:sz w:val="20"/>
                <w:szCs w:val="20"/>
              </w:rPr>
              <w:t>TAK/NIE</w:t>
            </w:r>
          </w:p>
          <w:p w:rsidR="00F75282" w:rsidRPr="002A42B1" w:rsidRDefault="00F75282" w:rsidP="003B2419">
            <w:pPr>
              <w:spacing w:after="0" w:line="240" w:lineRule="auto"/>
              <w:jc w:val="center"/>
              <w:rPr>
                <w:rFonts w:ascii="Arial Narrow" w:hAnsi="Arial Narrow" w:cstheme="minorHAnsi"/>
                <w:sz w:val="20"/>
                <w:szCs w:val="20"/>
              </w:rPr>
            </w:pPr>
            <w:r>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47303E" w:rsidRPr="002A42B1" w:rsidRDefault="0047303E"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75282" w:rsidRPr="00F75282" w:rsidRDefault="00F75282" w:rsidP="00F75282">
            <w:pPr>
              <w:spacing w:after="0" w:line="240" w:lineRule="auto"/>
              <w:rPr>
                <w:rFonts w:ascii="Arial Narrow" w:hAnsi="Arial Narrow" w:cstheme="minorHAnsi"/>
                <w:sz w:val="20"/>
                <w:szCs w:val="20"/>
              </w:rPr>
            </w:pPr>
            <w:r w:rsidRPr="00F75282">
              <w:rPr>
                <w:rFonts w:ascii="Arial Narrow" w:hAnsi="Arial Narrow" w:cstheme="minorHAnsi"/>
                <w:sz w:val="20"/>
                <w:szCs w:val="20"/>
              </w:rPr>
              <w:t>Nie – 0 pkt.</w:t>
            </w:r>
          </w:p>
          <w:p w:rsidR="0047303E" w:rsidRPr="002A42B1" w:rsidRDefault="00F75282" w:rsidP="00F75282">
            <w:pPr>
              <w:spacing w:after="0" w:line="240" w:lineRule="auto"/>
              <w:rPr>
                <w:rFonts w:ascii="Arial Narrow" w:hAnsi="Arial Narrow" w:cstheme="minorHAnsi"/>
                <w:sz w:val="20"/>
                <w:szCs w:val="20"/>
              </w:rPr>
            </w:pPr>
            <w:r w:rsidRPr="00F75282">
              <w:rPr>
                <w:rFonts w:ascii="Arial Narrow" w:hAnsi="Arial Narrow" w:cstheme="minorHAnsi"/>
                <w:sz w:val="20"/>
                <w:szCs w:val="20"/>
              </w:rPr>
              <w:t xml:space="preserve">Tak – </w:t>
            </w:r>
            <w:r>
              <w:rPr>
                <w:rFonts w:ascii="Arial Narrow" w:hAnsi="Arial Narrow" w:cstheme="minorHAnsi"/>
                <w:sz w:val="20"/>
                <w:szCs w:val="20"/>
              </w:rPr>
              <w:t>5</w:t>
            </w:r>
            <w:bookmarkStart w:id="4" w:name="_GoBack"/>
            <w:bookmarkEnd w:id="4"/>
            <w:r w:rsidRPr="00F75282">
              <w:rPr>
                <w:rFonts w:ascii="Arial Narrow" w:hAnsi="Arial Narrow" w:cstheme="minorHAnsi"/>
                <w:sz w:val="20"/>
                <w:szCs w:val="20"/>
              </w:rPr>
              <w:t xml:space="preserve"> pkt.</w:t>
            </w:r>
          </w:p>
        </w:tc>
      </w:tr>
      <w:tr w:rsidR="003B2419"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5F308D">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5F308D">
            <w:pPr>
              <w:pStyle w:val="Normalny1"/>
              <w:snapToGrid w:val="0"/>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 xml:space="preserve"> liczba przetworników piezoelektrycznych min. 250.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rPr>
                <w:rFonts w:ascii="Arial Narrow" w:hAnsi="Arial Narrow"/>
                <w:sz w:val="20"/>
                <w:szCs w:val="20"/>
              </w:rPr>
            </w:pPr>
          </w:p>
        </w:tc>
      </w:tr>
      <w:tr w:rsidR="005F308D" w:rsidRPr="002A42B1"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240A9C">
            <w:pPr>
              <w:spacing w:after="0"/>
              <w:jc w:val="both"/>
              <w:rPr>
                <w:rFonts w:ascii="Arial Narrow" w:hAnsi="Arial Narrow"/>
                <w:sz w:val="20"/>
                <w:szCs w:val="20"/>
              </w:rPr>
            </w:pPr>
            <w:r w:rsidRPr="002A42B1">
              <w:rPr>
                <w:rFonts w:ascii="Arial Narrow" w:hAnsi="Arial Narrow"/>
                <w:sz w:val="20"/>
                <w:szCs w:val="20"/>
              </w:rPr>
              <w:t xml:space="preserve">Głowica przezprzełykowa matrycowa, pasmo min 3-7 MHz, min. 2400 elementów piezoelektrycznych  - </w:t>
            </w:r>
            <w:r w:rsidR="00240A9C">
              <w:rPr>
                <w:rFonts w:ascii="Arial Narrow" w:hAnsi="Arial Narrow"/>
                <w:sz w:val="20"/>
                <w:szCs w:val="20"/>
              </w:rPr>
              <w:t>aparat kompatybilny z głowicą</w:t>
            </w:r>
            <w:r w:rsidRPr="002A42B1">
              <w:rPr>
                <w:rFonts w:ascii="Arial Narrow" w:hAnsi="Arial Narrow"/>
                <w:sz w:val="20"/>
                <w:szCs w:val="20"/>
              </w:rPr>
              <w:t xml:space="preserve">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030A67" w:rsidRPr="002A42B1" w:rsidRDefault="00030A67" w:rsidP="00030A67">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74B10" w:rsidRDefault="00374B10" w:rsidP="00030A67">
      <w:pPr>
        <w:spacing w:after="0"/>
        <w:rPr>
          <w:rFonts w:ascii="Arial Narrow" w:hAnsi="Arial Narrow" w:cs="Times New Roman"/>
          <w:b/>
          <w:sz w:val="20"/>
          <w:szCs w:val="20"/>
        </w:rPr>
      </w:pPr>
    </w:p>
    <w:p w:rsidR="00374B10" w:rsidRDefault="00374B10"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Pr="00883194" w:rsidRDefault="001A2FBA"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3"/>
    </w:p>
    <w:p w:rsidR="001A2FBA" w:rsidRDefault="001A2FBA" w:rsidP="0003618D">
      <w:pPr>
        <w:spacing w:after="0" w:line="240" w:lineRule="auto"/>
        <w:jc w:val="right"/>
        <w:rPr>
          <w:rFonts w:ascii="Arial Narrow" w:hAnsi="Arial Narrow" w:cs="Times New Roman"/>
          <w:sz w:val="20"/>
          <w:szCs w:val="20"/>
        </w:rPr>
      </w:pPr>
    </w:p>
    <w:p w:rsidR="001A2FBA" w:rsidRDefault="001A2FBA" w:rsidP="0003618D">
      <w:pPr>
        <w:spacing w:after="0" w:line="240" w:lineRule="auto"/>
        <w:jc w:val="right"/>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E21C76" w:rsidRPr="00E21C76" w:rsidRDefault="00E21C76"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Siatkatabeli"/>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Pr="003F6747" w:rsidRDefault="00937ABB" w:rsidP="00937ABB">
      <w:pPr>
        <w:rPr>
          <w:rFonts w:ascii="Arial Narrow" w:hAnsi="Arial Narrow" w:cs="Times New Roman"/>
          <w:b/>
        </w:rPr>
      </w:pPr>
    </w:p>
    <w:tbl>
      <w:tblPr>
        <w:tblW w:w="16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7"/>
        <w:gridCol w:w="6804"/>
        <w:gridCol w:w="1985"/>
        <w:gridCol w:w="4394"/>
        <w:gridCol w:w="2126"/>
      </w:tblGrid>
      <w:tr w:rsidR="00BD67BA" w:rsidRPr="003F6747" w:rsidTr="00BD67BA">
        <w:tc>
          <w:tcPr>
            <w:tcW w:w="707"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l.p.</w:t>
            </w:r>
          </w:p>
        </w:tc>
        <w:tc>
          <w:tcPr>
            <w:tcW w:w="680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w:t>
            </w:r>
          </w:p>
        </w:tc>
        <w:tc>
          <w:tcPr>
            <w:tcW w:w="1985"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oczekiwany</w:t>
            </w:r>
          </w:p>
        </w:tc>
        <w:tc>
          <w:tcPr>
            <w:tcW w:w="439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oferowany</w:t>
            </w:r>
          </w:p>
        </w:tc>
        <w:tc>
          <w:tcPr>
            <w:tcW w:w="2126"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Ocena pkt.</w:t>
            </w: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rPr>
                <w:rFonts w:ascii="Arial Narrow" w:hAnsi="Arial Narrow"/>
                <w:b/>
                <w:sz w:val="20"/>
                <w:szCs w:val="20"/>
              </w:rPr>
            </w:pPr>
            <w:r w:rsidRPr="00F5485F">
              <w:rPr>
                <w:rFonts w:ascii="Arial Narrow" w:hAnsi="Arial Narrow"/>
                <w:b/>
                <w:sz w:val="20"/>
                <w:szCs w:val="20"/>
              </w:rPr>
              <w:t>JEDNOSTKA GŁÓWNA – APARAT FABRYCZNIE NOWY, ROK PRODUKCJI 2017</w:t>
            </w:r>
          </w:p>
        </w:tc>
      </w:tr>
      <w:tr w:rsidR="00BD67BA" w:rsidTr="00BD67BA">
        <w:tc>
          <w:tcPr>
            <w:tcW w:w="707" w:type="dxa"/>
            <w:vAlign w:val="center"/>
          </w:tcPr>
          <w:p w:rsidR="00937ABB" w:rsidRPr="00F5485F" w:rsidRDefault="00937ABB" w:rsidP="007E7564">
            <w:pPr>
              <w:pStyle w:val="Bezodstpw"/>
              <w:numPr>
                <w:ilvl w:val="0"/>
                <w:numId w:val="74"/>
              </w:numPr>
              <w:ind w:left="85" w:firstLine="0"/>
              <w:jc w:val="center"/>
              <w:rPr>
                <w:rFonts w:ascii="Arial Narrow" w:hAnsi="Arial Narrow"/>
                <w:sz w:val="20"/>
                <w:szCs w:val="20"/>
              </w:rPr>
            </w:pPr>
          </w:p>
        </w:tc>
        <w:tc>
          <w:tcPr>
            <w:tcW w:w="6804" w:type="dxa"/>
            <w:shd w:val="clear" w:color="auto" w:fill="auto"/>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Kliniczny, cyfrowy, aparat ultrasonograficzny klasy Premium z kolorowym Dopplerem.</w:t>
            </w:r>
          </w:p>
        </w:tc>
        <w:tc>
          <w:tcPr>
            <w:tcW w:w="1985" w:type="dxa"/>
            <w:shd w:val="clear" w:color="auto" w:fill="auto"/>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Przetwornik 12-bitowy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Cyfrowy system formowania wiązki ultradźwiękowej.</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nadawczych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odbiorczych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aktywnych gniazd głowic obrazowych: min. 3</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Dynamika systemu min. 250 </w:t>
            </w:r>
            <w:proofErr w:type="spellStart"/>
            <w:r w:rsidRPr="00F5485F">
              <w:rPr>
                <w:rFonts w:ascii="Arial Narrow" w:hAnsi="Arial Narrow" w:cstheme="minorHAnsi"/>
                <w:sz w:val="20"/>
                <w:szCs w:val="20"/>
              </w:rPr>
              <w:t>dB</w:t>
            </w:r>
            <w:proofErr w:type="spellEnd"/>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Monitor LCD o wysokiej rozdzielczości z możliwością regulacja w 3 płaszczyznach. Przekątna ekranu &gt;= 17 cali.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Ruchomy pulpit sterowniczy – umożliwiający regulację w zakresie: góra-dół, lewo-prawo</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Dotykowy, programowalny panel sterujący LCD wbudowany w konsolę o wielkości min. 10 cali</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od 1 do 18 MHz.</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1-18 MHz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1-19 MHz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1-20 MHz i więcej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regulacji prędkości odtwarzania w pętli pamięci dynamicznej obrazów (tzw.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uzyskania sekwencji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w trybie 4B tj. 4 niezależnych sekwencji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jednocześnie na jednym obrazie</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Pamięć dynamiczna dla trybu M-</w:t>
            </w:r>
            <w:proofErr w:type="spellStart"/>
            <w:r w:rsidRPr="00F5485F">
              <w:rPr>
                <w:rFonts w:ascii="Arial Narrow" w:hAnsi="Arial Narrow" w:cstheme="minorHAnsi"/>
                <w:sz w:val="20"/>
                <w:szCs w:val="20"/>
              </w:rPr>
              <w:t>mode</w:t>
            </w:r>
            <w:proofErr w:type="spellEnd"/>
            <w:r w:rsidRPr="00F5485F">
              <w:rPr>
                <w:rFonts w:ascii="Arial Narrow" w:hAnsi="Arial Narrow" w:cstheme="minorHAnsi"/>
                <w:sz w:val="20"/>
                <w:szCs w:val="20"/>
              </w:rPr>
              <w:t xml:space="preserve"> lub D-</w:t>
            </w:r>
            <w:proofErr w:type="spellStart"/>
            <w:r w:rsidRPr="00F5485F">
              <w:rPr>
                <w:rFonts w:ascii="Arial Narrow" w:hAnsi="Arial Narrow" w:cstheme="minorHAnsi"/>
                <w:sz w:val="20"/>
                <w:szCs w:val="20"/>
              </w:rPr>
              <w:t>mode</w:t>
            </w:r>
            <w:proofErr w:type="spellEnd"/>
            <w:r w:rsidRPr="00F5485F">
              <w:rPr>
                <w:rFonts w:ascii="Arial Narrow" w:hAnsi="Arial Narrow" w:cstheme="minorHAnsi"/>
                <w:sz w:val="20"/>
                <w:szCs w:val="20"/>
              </w:rPr>
              <w:t xml:space="preserve"> &gt;=. 40 sek.</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Regulacja głębokości pola obrazowania min. 0,5 - 30 cm</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ustawień wstępnych (</w:t>
            </w:r>
            <w:proofErr w:type="spellStart"/>
            <w:r w:rsidRPr="00F5485F">
              <w:rPr>
                <w:rFonts w:ascii="Arial Narrow" w:hAnsi="Arial Narrow" w:cstheme="minorHAnsi"/>
                <w:sz w:val="20"/>
                <w:szCs w:val="20"/>
              </w:rPr>
              <w:t>presetów</w:t>
            </w:r>
            <w:proofErr w:type="spellEnd"/>
            <w:r w:rsidRPr="00F5485F">
              <w:rPr>
                <w:rFonts w:ascii="Arial Narrow" w:hAnsi="Arial Narrow" w:cstheme="minorHAnsi"/>
                <w:sz w:val="20"/>
                <w:szCs w:val="20"/>
              </w:rPr>
              <w:t>) programowanych przez użytkownika &gt;= 40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Podstawa jezdna z czterema obrotowymi kołami z możliwością blokowania każdego z kół oraz blokadą kierunku jazdy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OBRAZOWANIE I PREZENTACJA OBRAZU</w:t>
            </w:r>
          </w:p>
        </w:tc>
      </w:tr>
      <w:tr w:rsidR="00BD67BA" w:rsidTr="00BD67BA">
        <w:tc>
          <w:tcPr>
            <w:tcW w:w="707" w:type="dxa"/>
            <w:vAlign w:val="center"/>
          </w:tcPr>
          <w:p w:rsidR="00937ABB" w:rsidRPr="00F5485F" w:rsidRDefault="00937ABB" w:rsidP="007E7564">
            <w:pPr>
              <w:pStyle w:val="Bezodstpw"/>
              <w:numPr>
                <w:ilvl w:val="0"/>
                <w:numId w:val="75"/>
              </w:numPr>
              <w:ind w:left="85" w:firstLine="0"/>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rPr>
              <w:t xml:space="preserve">Kombinacje prezentowanych jednocześnie obrazów. Min. B, </w:t>
            </w:r>
            <w:r w:rsidRPr="00F5485F">
              <w:rPr>
                <w:rFonts w:ascii="Arial Narrow" w:hAnsi="Arial Narrow" w:cstheme="minorHAnsi"/>
                <w:sz w:val="20"/>
                <w:szCs w:val="20"/>
                <w:lang w:val="en-US"/>
              </w:rPr>
              <w:t>B + B, 4 B; M; B + M; D;</w:t>
            </w:r>
          </w:p>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lang w:val="en-US"/>
              </w:rPr>
              <w:t xml:space="preserve">B + D; B + M + D; B + C (Color Doppler); B + PD (Power Doppler); 4 B (Color Doppler); 4 B (Power Doppler); </w:t>
            </w:r>
            <w:r w:rsidRPr="00F5485F">
              <w:rPr>
                <w:rFonts w:ascii="Arial Narrow" w:hAnsi="Arial Narrow" w:cstheme="minorHAnsi"/>
                <w:sz w:val="20"/>
                <w:szCs w:val="20"/>
              </w:rPr>
              <w:t xml:space="preserve">B + </w:t>
            </w:r>
            <w:proofErr w:type="spellStart"/>
            <w:r w:rsidRPr="00F5485F">
              <w:rPr>
                <w:rFonts w:ascii="Arial Narrow" w:hAnsi="Arial Narrow" w:cstheme="minorHAnsi"/>
                <w:sz w:val="20"/>
                <w:szCs w:val="20"/>
              </w:rPr>
              <w:t>Color</w:t>
            </w:r>
            <w:proofErr w:type="spellEnd"/>
            <w:r w:rsidRPr="00F5485F">
              <w:rPr>
                <w:rFonts w:ascii="Arial Narrow" w:hAnsi="Arial Narrow" w:cstheme="minorHAnsi"/>
                <w:sz w:val="20"/>
                <w:szCs w:val="20"/>
              </w:rPr>
              <w:t xml:space="preserve"> + M</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Maksymalny FRAME RATE dla trybu B: &gt;= 1000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FRAME RATE dla trybu B + kolor (CD):  &gt;= 350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Szerokopasmowe obrazowanie harmoniczne &gt;=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 Kolorowy (CD)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Kolorowego (CD) &gt;= +/- 3,9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zmian map koloru w </w:t>
            </w:r>
            <w:proofErr w:type="spellStart"/>
            <w:r w:rsidRPr="00F5485F">
              <w:rPr>
                <w:rFonts w:ascii="Arial Narrow" w:hAnsi="Arial Narrow"/>
                <w:sz w:val="20"/>
                <w:szCs w:val="20"/>
              </w:rPr>
              <w:t>Color</w:t>
            </w:r>
            <w:proofErr w:type="spellEnd"/>
            <w:r w:rsidRPr="00F5485F">
              <w:rPr>
                <w:rFonts w:ascii="Arial Narrow" w:hAnsi="Arial Narrow"/>
                <w:sz w:val="20"/>
                <w:szCs w:val="20"/>
              </w:rPr>
              <w:t xml:space="preserve"> Dopplerze  &gt;= 15 map</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RPr="0033032F"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Power Doppler (PD) i Power Doppler Kierunkowy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Obrazowanie w rozszerzonym trybie </w:t>
            </w:r>
            <w:proofErr w:type="spellStart"/>
            <w:r w:rsidRPr="00F5485F">
              <w:rPr>
                <w:rFonts w:ascii="Arial Narrow" w:hAnsi="Arial Narrow"/>
                <w:sz w:val="20"/>
                <w:szCs w:val="20"/>
              </w:rPr>
              <w:t>Color</w:t>
            </w:r>
            <w:proofErr w:type="spellEnd"/>
            <w:r w:rsidRPr="00F5485F">
              <w:rPr>
                <w:rFonts w:ascii="Arial Narrow" w:hAnsi="Arial Narrow"/>
                <w:sz w:val="20"/>
                <w:szCs w:val="20"/>
              </w:rPr>
              <w:t xml:space="preserve"> Doppler o bardzo wysokiej czułości i rozdzielczości z możliwością wizualizacji bardzo wolnych przepływów w małych naczyniach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Kolorowy i Spektralny Doppler Tkankowy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Dopplera Pulsacyjnego PWD oraz HPRF PWD (o wysokiej częstotliwości powtarzania)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pulsacyjnego (PWD) min.: +/- 6,3 m/s (przy zerowym kącie bramki)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Regulacja bramki dopplerowskiej w zakresie: </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min. od 0,5 mm do 20 mm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odchylenia wiązki Dopplerowskiej w zakresie: min. +/- 30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korekcji kąta bramki dopplerowskiej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korekcja kąta bramki dopplerowskiej za pomocą jednego przycisku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wielokątowe w tzw. układzie skrzyżowanych ultradźwięków</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System obrazowania wyostrzający kontury i redukujący artefakty szumowe – dostępny na wszystkich głowicach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Obrazowanie w trybie </w:t>
            </w:r>
            <w:proofErr w:type="spellStart"/>
            <w:r w:rsidRPr="00F5485F">
              <w:rPr>
                <w:rFonts w:ascii="Arial Narrow" w:hAnsi="Arial Narrow"/>
                <w:sz w:val="20"/>
                <w:szCs w:val="20"/>
              </w:rPr>
              <w:t>Triplex</w:t>
            </w:r>
            <w:proofErr w:type="spellEnd"/>
            <w:r w:rsidRPr="00F5485F">
              <w:rPr>
                <w:rFonts w:ascii="Arial Narrow" w:hAnsi="Arial Narrow"/>
                <w:sz w:val="20"/>
                <w:szCs w:val="20"/>
              </w:rPr>
              <w:t xml:space="preserve"> – (B+CD/PD +PWD)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Jednoczesne obrazowanie B + B/CD (</w:t>
            </w:r>
            <w:proofErr w:type="spellStart"/>
            <w:r w:rsidRPr="00F5485F">
              <w:rPr>
                <w:rFonts w:ascii="Arial Narrow" w:hAnsi="Arial Narrow"/>
                <w:sz w:val="20"/>
                <w:szCs w:val="20"/>
              </w:rPr>
              <w:t>Color</w:t>
            </w:r>
            <w:proofErr w:type="spellEnd"/>
            <w:r w:rsidRPr="00F5485F">
              <w:rPr>
                <w:rFonts w:ascii="Arial Narrow" w:hAnsi="Arial Narrow"/>
                <w:sz w:val="20"/>
                <w:szCs w:val="20"/>
              </w:rPr>
              <w:t>/Power Doppler) w czasie rzeczywistym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trapezowe i rombowe na głowicach liniowych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optymalizacja obrazu B za pomocą jednego przycisku</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Zasięgowa regulacja wzmocnienia (TGC lub STC) min. w 8 strefach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regulacji wzmocnienia GAIN w czasie rzeczywistym i po zamrożeniu</w:t>
            </w:r>
          </w:p>
        </w:tc>
        <w:tc>
          <w:tcPr>
            <w:tcW w:w="1985" w:type="dxa"/>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b/>
                <w:sz w:val="20"/>
                <w:szCs w:val="20"/>
              </w:rPr>
              <w:t>PARAMETRY FUNKCJONALNO-UŻYTKOWE</w:t>
            </w:r>
          </w:p>
        </w:tc>
      </w:tr>
      <w:tr w:rsidR="00BD67BA" w:rsidTr="00BD67BA">
        <w:tc>
          <w:tcPr>
            <w:tcW w:w="707" w:type="dxa"/>
            <w:vAlign w:val="center"/>
          </w:tcPr>
          <w:p w:rsidR="00937ABB" w:rsidRPr="00F5485F" w:rsidRDefault="00937ABB" w:rsidP="007E7564">
            <w:pPr>
              <w:pStyle w:val="Bezodstpw"/>
              <w:numPr>
                <w:ilvl w:val="0"/>
                <w:numId w:val="76"/>
              </w:numPr>
              <w:ind w:left="85" w:firstLine="0"/>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w czasie rzeczywistym: &gt;=  x 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po zamrożeniu: &gt;=  x15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hideMark/>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pomiarów możliwych na jednym obrazie: &gt;= 10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Pomiar odległości, obwodu, pola powierzchni, objętości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Przełączanie głowic z klawiatury. Możliwość przypisania głowic do poszczególnych </w:t>
            </w:r>
            <w:proofErr w:type="spellStart"/>
            <w:r w:rsidRPr="00F5485F">
              <w:rPr>
                <w:rFonts w:ascii="Arial Narrow" w:hAnsi="Arial Narrow" w:cstheme="minorHAnsi"/>
                <w:sz w:val="20"/>
                <w:szCs w:val="20"/>
              </w:rPr>
              <w:t>presetów</w:t>
            </w:r>
            <w:proofErr w:type="spellEnd"/>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lang w:eastAsia="ar-SA"/>
              </w:rPr>
              <w:t xml:space="preserve">Podświetlany pulpit sterowniczy w </w:t>
            </w:r>
            <w:r w:rsidRPr="00F5485F">
              <w:rPr>
                <w:rFonts w:ascii="Arial Narrow" w:hAnsi="Arial Narrow" w:cstheme="minorHAnsi"/>
                <w:sz w:val="20"/>
                <w:szCs w:val="20"/>
              </w:rPr>
              <w:t>&gt;=</w:t>
            </w:r>
            <w:r w:rsidRPr="00F5485F">
              <w:rPr>
                <w:rFonts w:ascii="Arial Narrow" w:hAnsi="Arial Narrow" w:cstheme="minorHAnsi"/>
                <w:sz w:val="20"/>
                <w:szCs w:val="20"/>
                <w:lang w:eastAsia="ar-SA"/>
              </w:rPr>
              <w:t xml:space="preserve"> 2 kolorach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Podświetlana klawiatura alfanumeryczna wysuwana spod pulpitu aparatu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Wbudowany w aparat podgrzewacz żelu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TAK/NIE</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Nie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Tak – 10 pkt</w:t>
            </w: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Raporty z badań z możliwością zapamiętywania raportów w systemie</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Pełne oprogramowanie do badań: </w:t>
            </w:r>
            <w:proofErr w:type="spellStart"/>
            <w:r w:rsidRPr="00F5485F">
              <w:rPr>
                <w:rFonts w:ascii="Arial Narrow" w:hAnsi="Arial Narrow" w:cstheme="minorHAnsi"/>
                <w:sz w:val="20"/>
                <w:szCs w:val="20"/>
              </w:rPr>
              <w:t>Transkranialnych</w:t>
            </w:r>
            <w:proofErr w:type="spellEnd"/>
            <w:r w:rsidRPr="00F5485F">
              <w:rPr>
                <w:rFonts w:ascii="Arial Narrow" w:hAnsi="Arial Narrow" w:cstheme="minorHAnsi"/>
                <w:sz w:val="20"/>
                <w:szCs w:val="20"/>
              </w:rPr>
              <w:t xml:space="preserve">; Małych narządów; </w:t>
            </w:r>
            <w:proofErr w:type="spellStart"/>
            <w:r w:rsidRPr="00F5485F">
              <w:rPr>
                <w:rFonts w:ascii="Arial Narrow" w:hAnsi="Arial Narrow" w:cstheme="minorHAnsi"/>
                <w:sz w:val="20"/>
                <w:szCs w:val="20"/>
              </w:rPr>
              <w:t>Naczyniowych;Kardiologicznych</w:t>
            </w:r>
            <w:proofErr w:type="spellEnd"/>
            <w:r w:rsidRPr="00F5485F">
              <w:rPr>
                <w:rFonts w:ascii="Arial Narrow" w:hAnsi="Arial Narrow" w:cstheme="minorHAnsi"/>
                <w:sz w:val="20"/>
                <w:szCs w:val="20"/>
              </w:rPr>
              <w:t>; Pediatrycznych’ Śródoperacyjnych; Brzusznych.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ARCHIWIZACJA OBRAZÓW</w:t>
            </w: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Wewnętrzny system archiwizacji danych (dane pacjenta, obrazy, sekwencje)z dyskiem twardym o pojemności &gt;=  500 GB</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Zainstalowany moduł DICOM 3.0 umożliwiający zapis i przesyłanie obrazów w standardzie DICOM</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Zapis obrazów w formatach: DICOM, JPG, BMP i TIFF oraz pętli obrazowych (AVI) w systemie aparatu z możliwością eksportu na zewnętrzne nośniki typu </w:t>
            </w:r>
            <w:proofErr w:type="spellStart"/>
            <w:r w:rsidRPr="00F5485F">
              <w:rPr>
                <w:rFonts w:ascii="Arial Narrow" w:hAnsi="Arial Narrow"/>
                <w:sz w:val="20"/>
                <w:szCs w:val="20"/>
              </w:rPr>
              <w:t>PenDrvie</w:t>
            </w:r>
            <w:proofErr w:type="spellEnd"/>
            <w:r w:rsidRPr="00F5485F">
              <w:rPr>
                <w:rFonts w:ascii="Arial Narrow" w:hAnsi="Arial Narrow"/>
                <w:sz w:val="20"/>
                <w:szCs w:val="20"/>
              </w:rPr>
              <w:t xml:space="preserve"> lub płyty CD/DVD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16"/>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jednoczesnego zapisu obrazu na wewnętrznym dysku HDD i nośniku typu </w:t>
            </w:r>
            <w:proofErr w:type="spellStart"/>
            <w:r w:rsidRPr="00F5485F">
              <w:rPr>
                <w:rFonts w:ascii="Arial Narrow" w:hAnsi="Arial Narrow"/>
                <w:sz w:val="20"/>
                <w:szCs w:val="20"/>
              </w:rPr>
              <w:t>PenDrive</w:t>
            </w:r>
            <w:proofErr w:type="spellEnd"/>
            <w:r w:rsidRPr="00F5485F">
              <w:rPr>
                <w:rFonts w:ascii="Arial Narrow" w:hAnsi="Arial Narrow"/>
                <w:sz w:val="20"/>
                <w:szCs w:val="20"/>
              </w:rPr>
              <w:t xml:space="preserve"> oraz wydruku obrazu na </w:t>
            </w:r>
            <w:proofErr w:type="spellStart"/>
            <w:r w:rsidRPr="00F5485F">
              <w:rPr>
                <w:rFonts w:ascii="Arial Narrow" w:hAnsi="Arial Narrow"/>
                <w:sz w:val="20"/>
                <w:szCs w:val="20"/>
              </w:rPr>
              <w:t>printerze</w:t>
            </w:r>
            <w:proofErr w:type="spellEnd"/>
            <w:r w:rsidRPr="00F5485F">
              <w:rPr>
                <w:rFonts w:ascii="Arial Narrow" w:hAnsi="Arial Narrow"/>
                <w:sz w:val="20"/>
                <w:szCs w:val="20"/>
              </w:rPr>
              <w:t xml:space="preserve">. Wszystkie 3 akcje dostępne po naciśnięciu jednego przycisku. </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Funkcja ukrycia danych pacjenta przy archiwizacji na zewnętrzne nośniki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proofErr w:type="spellStart"/>
            <w:r w:rsidRPr="00F5485F">
              <w:rPr>
                <w:rFonts w:ascii="Arial Narrow" w:hAnsi="Arial Narrow"/>
                <w:sz w:val="20"/>
                <w:szCs w:val="20"/>
              </w:rPr>
              <w:t>Videoprinter</w:t>
            </w:r>
            <w:proofErr w:type="spellEnd"/>
            <w:r w:rsidRPr="00F5485F">
              <w:rPr>
                <w:rFonts w:ascii="Arial Narrow" w:hAnsi="Arial Narrow"/>
                <w:sz w:val="20"/>
                <w:szCs w:val="20"/>
              </w:rPr>
              <w:t xml:space="preserve"> czarno-biały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Wbudowane wyjście USB 2.0 do podłączenia nośników typu </w:t>
            </w:r>
            <w:proofErr w:type="spellStart"/>
            <w:r w:rsidRPr="00F5485F">
              <w:rPr>
                <w:rFonts w:ascii="Arial Narrow" w:hAnsi="Arial Narrow"/>
                <w:sz w:val="20"/>
                <w:szCs w:val="20"/>
              </w:rPr>
              <w:t>PenDrive</w:t>
            </w:r>
            <w:proofErr w:type="spellEnd"/>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Wbudowana karta sieciowa Ethernet 10/100 </w:t>
            </w:r>
            <w:proofErr w:type="spellStart"/>
            <w:r w:rsidRPr="00F5485F">
              <w:rPr>
                <w:rFonts w:ascii="Arial Narrow" w:hAnsi="Arial Narrow"/>
                <w:sz w:val="20"/>
                <w:szCs w:val="20"/>
              </w:rPr>
              <w:t>Mbps</w:t>
            </w:r>
            <w:proofErr w:type="spellEnd"/>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podłączenia aparatu do dowolnego komputera PC kablem sieciowych 100 </w:t>
            </w:r>
            <w:proofErr w:type="spellStart"/>
            <w:r w:rsidRPr="00F5485F">
              <w:rPr>
                <w:rFonts w:ascii="Arial Narrow" w:hAnsi="Arial Narrow"/>
                <w:sz w:val="20"/>
                <w:szCs w:val="20"/>
              </w:rPr>
              <w:t>Mbps</w:t>
            </w:r>
            <w:proofErr w:type="spellEnd"/>
            <w:r w:rsidRPr="00F5485F">
              <w:rPr>
                <w:rFonts w:ascii="Arial Narrow" w:hAnsi="Arial Narrow"/>
                <w:sz w:val="20"/>
                <w:szCs w:val="20"/>
              </w:rPr>
              <w:t xml:space="preserve"> w celu wysyłania danych (obrazy, raporty)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937ABB" w:rsidTr="00BD67BA">
        <w:trPr>
          <w:trHeight w:val="36"/>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GŁOWICE ULTRADŹWIĘKOWE</w:t>
            </w:r>
          </w:p>
        </w:tc>
      </w:tr>
      <w:tr w:rsidR="00BD67BA" w:rsidTr="00BD67BA">
        <w:trPr>
          <w:trHeight w:val="23"/>
        </w:trPr>
        <w:tc>
          <w:tcPr>
            <w:tcW w:w="707" w:type="dxa"/>
            <w:vAlign w:val="center"/>
            <w:hideMark/>
          </w:tcPr>
          <w:p w:rsidR="00937ABB" w:rsidRPr="00F5485F" w:rsidRDefault="00937ABB" w:rsidP="00C449A2">
            <w:pPr>
              <w:pStyle w:val="Bezodstpw"/>
              <w:numPr>
                <w:ilvl w:val="0"/>
                <w:numId w:val="50"/>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 xml:space="preserve">Głowice </w:t>
            </w:r>
            <w:r w:rsidRPr="00F5485F">
              <w:rPr>
                <w:rFonts w:ascii="Arial Narrow" w:hAnsi="Arial Narrow" w:cstheme="minorHAnsi"/>
                <w:sz w:val="20"/>
                <w:szCs w:val="20"/>
              </w:rPr>
              <w:t>matrycowe lub wykonane w technologii zapewniającej ogniskowanie wiązki w dwóch płaszczyznach</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color w:val="000000"/>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MICROCONVEX ŚRÓDOPERACYJNA</w:t>
            </w:r>
          </w:p>
        </w:tc>
      </w:tr>
      <w:tr w:rsidR="00BD67BA" w:rsidTr="00BD67BA">
        <w:trPr>
          <w:trHeight w:val="2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Szerokopasmowa, ze zmianą częstotliwości pracy wraz z integracją z nawigacją MEDTRONIC </w:t>
            </w:r>
            <w:proofErr w:type="spellStart"/>
            <w:r w:rsidRPr="00F5485F">
              <w:rPr>
                <w:rFonts w:ascii="Arial Narrow" w:hAnsi="Arial Narrow"/>
                <w:sz w:val="20"/>
                <w:szCs w:val="20"/>
              </w:rPr>
              <w:t>Stealth</w:t>
            </w:r>
            <w:proofErr w:type="spellEnd"/>
            <w:r w:rsidRPr="00F5485F">
              <w:rPr>
                <w:rFonts w:ascii="Arial Narrow" w:hAnsi="Arial Narrow"/>
                <w:sz w:val="20"/>
                <w:szCs w:val="20"/>
              </w:rPr>
              <w:t xml:space="preserve"> Station S7 - z możliwością śródoperacyjnego określania </w:t>
            </w:r>
            <w:proofErr w:type="spellStart"/>
            <w:r w:rsidRPr="00F5485F">
              <w:rPr>
                <w:rFonts w:ascii="Arial Narrow" w:hAnsi="Arial Narrow"/>
                <w:sz w:val="20"/>
                <w:szCs w:val="20"/>
              </w:rPr>
              <w:t>brain-shift</w:t>
            </w:r>
            <w:proofErr w:type="spellEnd"/>
            <w:r w:rsidRPr="00F5485F">
              <w:rPr>
                <w:rFonts w:ascii="Arial Narrow" w:hAnsi="Arial Narrow"/>
                <w:sz w:val="20"/>
                <w:szCs w:val="20"/>
              </w:rPr>
              <w:t>.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5,0 – 10,0 MHz.</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190</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hideMark/>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70 stopni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Promień krzywej &lt;= R 20 mm</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harmoniczne &gt;=  4 pasma częstotliwości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ELEKTORNICZNA CONVEX</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581"/>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1,0 – 5,0 MHz.</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5,0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6,0 i więcej – 10 pkt</w:t>
            </w:r>
          </w:p>
        </w:tc>
      </w:tr>
      <w:tr w:rsidR="00BD67BA" w:rsidTr="00BD67BA">
        <w:trPr>
          <w:trHeight w:val="73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500</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501-550  – 2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cstheme="minorHAnsi"/>
                <w:sz w:val="20"/>
                <w:szCs w:val="20"/>
              </w:rPr>
              <w:t>Powyżej 550 – 5 pkt</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60 st.</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LINIOWA MATRYCOWA.</w:t>
            </w: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18"/>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4,0 – 11,0 MHz.</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4,0 – 13,0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3,0 – 13,0 i więcej – 10 pkt</w:t>
            </w:r>
          </w:p>
        </w:tc>
      </w:tr>
      <w:tr w:rsidR="00BD67BA" w:rsidTr="00BD67BA">
        <w:trPr>
          <w:trHeight w:val="370"/>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elementów min. 900</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901-1000  – 2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Powyżej 1000 – 5 pkt</w:t>
            </w:r>
          </w:p>
        </w:tc>
      </w:tr>
      <w:tr w:rsidR="00BD67BA" w:rsidTr="00BD67BA">
        <w:trPr>
          <w:trHeight w:val="31"/>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Szerokość pola skanowania max. 50 mm</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trapezowe i rombowe</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157"/>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MOŻLIWOŚCI ROZBUDOWY SYSTEMU (OPCJE DOSTĘPNE NA DZIEŃ SKŁADANIA OFERT)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o głowicę śródoperacyjną </w:t>
            </w:r>
            <w:proofErr w:type="spellStart"/>
            <w:r w:rsidRPr="00F5485F">
              <w:rPr>
                <w:rFonts w:ascii="Arial Narrow" w:hAnsi="Arial Narrow"/>
                <w:sz w:val="20"/>
                <w:szCs w:val="20"/>
              </w:rPr>
              <w:t>Phased</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Array</w:t>
            </w:r>
            <w:proofErr w:type="spellEnd"/>
            <w:r w:rsidRPr="00F5485F">
              <w:rPr>
                <w:rFonts w:ascii="Arial Narrow" w:hAnsi="Arial Narrow"/>
                <w:sz w:val="20"/>
                <w:szCs w:val="20"/>
              </w:rPr>
              <w:t xml:space="preserve"> typu </w:t>
            </w:r>
            <w:proofErr w:type="spellStart"/>
            <w:r w:rsidRPr="00F5485F">
              <w:rPr>
                <w:rFonts w:ascii="Arial Narrow" w:hAnsi="Arial Narrow"/>
                <w:sz w:val="20"/>
                <w:szCs w:val="20"/>
              </w:rPr>
              <w:t>burr</w:t>
            </w:r>
            <w:proofErr w:type="spellEnd"/>
            <w:r w:rsidRPr="00F5485F">
              <w:rPr>
                <w:rFonts w:ascii="Arial Narrow" w:hAnsi="Arial Narrow"/>
                <w:sz w:val="20"/>
                <w:szCs w:val="20"/>
              </w:rPr>
              <w:t xml:space="preserve"> hole, min. 4,0-8,0 MHz, min. 64 elementy, kąt skanowania min. 90 st., przystawka biopsyjna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funkcję i oprogramowanie umożliwiające badanie i pomiar sprężystości naczyń</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obrazowanie </w:t>
            </w:r>
            <w:proofErr w:type="spellStart"/>
            <w:r w:rsidRPr="00F5485F">
              <w:rPr>
                <w:rFonts w:ascii="Arial Narrow" w:hAnsi="Arial Narrow"/>
                <w:sz w:val="20"/>
                <w:szCs w:val="20"/>
              </w:rPr>
              <w:t>elastograficzne</w:t>
            </w:r>
            <w:proofErr w:type="spellEnd"/>
            <w:r w:rsidRPr="00F5485F">
              <w:rPr>
                <w:rFonts w:ascii="Arial Narrow" w:hAnsi="Arial Narrow"/>
                <w:sz w:val="20"/>
                <w:szCs w:val="20"/>
              </w:rPr>
              <w:t xml:space="preserve"> w czasie rzeczywistym umożliwiające zobrazowanie różnic sztywności tkanki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do badań z kontrastem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o oprogramowanie zapewniające współpracę z głowicami endoskopowymi i </w:t>
            </w:r>
            <w:proofErr w:type="spellStart"/>
            <w:r w:rsidRPr="00F5485F">
              <w:rPr>
                <w:rFonts w:ascii="Arial Narrow" w:hAnsi="Arial Narrow"/>
                <w:sz w:val="20"/>
                <w:szCs w:val="20"/>
              </w:rPr>
              <w:t>bronchoskopowymi</w:t>
            </w:r>
            <w:proofErr w:type="spellEnd"/>
            <w:r w:rsidRPr="00F5485F">
              <w:rPr>
                <w:rFonts w:ascii="Arial Narrow" w:hAnsi="Arial Narrow"/>
                <w:sz w:val="20"/>
                <w:szCs w:val="20"/>
              </w:rPr>
              <w:t xml:space="preserve"> (Ultrasonografia Endoskopowa tzw. EUS i </w:t>
            </w:r>
            <w:proofErr w:type="spellStart"/>
            <w:r w:rsidRPr="00F5485F">
              <w:rPr>
                <w:rFonts w:ascii="Arial Narrow" w:hAnsi="Arial Narrow"/>
                <w:sz w:val="20"/>
                <w:szCs w:val="20"/>
              </w:rPr>
              <w:t>Bronchoskopowa</w:t>
            </w:r>
            <w:proofErr w:type="spellEnd"/>
            <w:r w:rsidRPr="00F5485F">
              <w:rPr>
                <w:rFonts w:ascii="Arial Narrow" w:hAnsi="Arial Narrow"/>
                <w:sz w:val="20"/>
                <w:szCs w:val="20"/>
              </w:rPr>
              <w:t xml:space="preserve"> tzw. EBUS)</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w:t>
            </w:r>
            <w:proofErr w:type="spellStart"/>
            <w:r w:rsidRPr="00F5485F">
              <w:rPr>
                <w:rFonts w:ascii="Arial Narrow" w:hAnsi="Arial Narrow"/>
                <w:sz w:val="20"/>
                <w:szCs w:val="20"/>
              </w:rPr>
              <w:t>Convex</w:t>
            </w:r>
            <w:proofErr w:type="spellEnd"/>
            <w:r w:rsidRPr="00F5485F">
              <w:rPr>
                <w:rFonts w:ascii="Arial Narrow" w:hAnsi="Arial Narrow"/>
                <w:sz w:val="20"/>
                <w:szCs w:val="20"/>
              </w:rPr>
              <w:t xml:space="preserve"> 2,0-6,0 MHz, min. 190 elementów, kąt min. 60 stopni, obrazowanie harmoniczne min. 4 pasma częstotliwości, z centralnym kanałem biopsyjnym przechodzącym przez głowicę</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objętościową głowicę Liniową 3D/4D (skanującą automatycznie), min. 4,0-13,0 MHz, min. 190 elementów, obrazowanie harmoniczne min. 4 pasma częstotliwości.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automatyczny pomiar objętości w trybie 3D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obrazowanie w trybie Spektralny Doppler Ciągły (CWD) o zakresie prędkości min. +/-15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kardiologiczna </w:t>
            </w:r>
            <w:proofErr w:type="spellStart"/>
            <w:r w:rsidRPr="00F5485F">
              <w:rPr>
                <w:rFonts w:ascii="Arial Narrow" w:hAnsi="Arial Narrow"/>
                <w:sz w:val="20"/>
                <w:szCs w:val="20"/>
              </w:rPr>
              <w:t>Phased</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Array</w:t>
            </w:r>
            <w:proofErr w:type="spellEnd"/>
            <w:r w:rsidRPr="00F5485F">
              <w:rPr>
                <w:rFonts w:ascii="Arial Narrow" w:hAnsi="Arial Narrow"/>
                <w:sz w:val="20"/>
                <w:szCs w:val="20"/>
              </w:rPr>
              <w:t xml:space="preserve"> 1,0-5,0 MHz, kąt 90 st., min. 64 elementy,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wielopłaszczyznowe głowice przezprzełykowe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w:t>
            </w:r>
            <w:proofErr w:type="spellStart"/>
            <w:r w:rsidRPr="00F5485F">
              <w:rPr>
                <w:rFonts w:ascii="Arial Narrow" w:hAnsi="Arial Narrow"/>
                <w:sz w:val="20"/>
                <w:szCs w:val="20"/>
              </w:rPr>
              <w:t>Microconvex</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Endocavitarną</w:t>
            </w:r>
            <w:proofErr w:type="spellEnd"/>
            <w:r w:rsidRPr="00F5485F">
              <w:rPr>
                <w:rFonts w:ascii="Arial Narrow" w:hAnsi="Arial Narrow"/>
                <w:sz w:val="20"/>
                <w:szCs w:val="20"/>
              </w:rPr>
              <w:t>, min. 3,0-9,0 MHz, min. 190 elementów, kąt skanowania min. 180 stopni,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bezprzewodowy (podczerwień) programowalny pilot zdalnego sterowania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6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b/>
                <w:kern w:val="2"/>
                <w:sz w:val="20"/>
                <w:szCs w:val="20"/>
              </w:rPr>
            </w:pPr>
            <w:r w:rsidRPr="00F5485F">
              <w:rPr>
                <w:rFonts w:ascii="Arial Narrow" w:eastAsia="Andale Sans UI" w:hAnsi="Arial Narrow" w:cs="Calibri"/>
                <w:b/>
                <w:kern w:val="2"/>
                <w:sz w:val="20"/>
                <w:szCs w:val="20"/>
              </w:rPr>
              <w:t>GWARANCJA</w:t>
            </w:r>
          </w:p>
        </w:tc>
        <w:tc>
          <w:tcPr>
            <w:tcW w:w="1985" w:type="dxa"/>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6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Gwarancja – obejmująca całość przedmiotu zamówienia – liczba miesięcy</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12 miesięcy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24 miesiące – 10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36 miesiące – 20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&gt;36 miesięcy – 25 pkt</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Liczba przeglądów niezbędnych do realizacji w okresie gwarancyjnym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Wszystkie czynności serwisowe, w tym przeglądy konserwacyjne, bezpłatne.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Czas reakcji (dotyczy także reakcji zdalnej): „przyjęte zgłoszenie – p</w:t>
            </w:r>
            <w:r w:rsidR="002C5C65" w:rsidRPr="00F5485F">
              <w:rPr>
                <w:rFonts w:ascii="Arial Narrow" w:eastAsia="Andale Sans UI" w:hAnsi="Arial Narrow" w:cs="Calibri"/>
                <w:kern w:val="2"/>
                <w:sz w:val="20"/>
                <w:szCs w:val="20"/>
              </w:rPr>
              <w:t>odjęta naprawa” ≤24</w:t>
            </w:r>
            <w:r w:rsidRPr="00F5485F">
              <w:rPr>
                <w:rFonts w:ascii="Arial Narrow" w:eastAsia="Andale Sans UI" w:hAnsi="Arial Narrow" w:cs="Calibri"/>
                <w:kern w:val="2"/>
                <w:sz w:val="20"/>
                <w:szCs w:val="20"/>
              </w:rPr>
              <w:t xml:space="preserve"> [godz.]</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Możliwość zgłoszeń 24h/dobę, 365 dni/rok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937ABB" w:rsidTr="00BD67BA">
        <w:trPr>
          <w:trHeight w:val="166"/>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SZKOLENIA</w:t>
            </w:r>
          </w:p>
        </w:tc>
      </w:tr>
      <w:tr w:rsidR="00BD67BA" w:rsidTr="00BD67BA">
        <w:trPr>
          <w:trHeight w:val="370"/>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412"/>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INNE</w:t>
            </w:r>
          </w:p>
        </w:tc>
      </w:tr>
      <w:tr w:rsidR="00BD67BA" w:rsidTr="00BD67BA">
        <w:trPr>
          <w:trHeight w:val="370"/>
        </w:trPr>
        <w:tc>
          <w:tcPr>
            <w:tcW w:w="707" w:type="dxa"/>
            <w:vAlign w:val="center"/>
          </w:tcPr>
          <w:p w:rsidR="00937ABB" w:rsidRPr="00F5485F" w:rsidRDefault="00937ABB" w:rsidP="007E7564">
            <w:pPr>
              <w:pStyle w:val="Bezodstpw"/>
              <w:numPr>
                <w:ilvl w:val="0"/>
                <w:numId w:val="7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Transport krajowy i zagraniczny wraz z ubezpieczeniem, wszelkie opłaty celne, skarbowe oraz inne opłaty pośrednie po stronie wykonawcy (dotyczy także usług gwarancyjnych)</w:t>
            </w:r>
            <w:r w:rsidR="00374B10" w:rsidRPr="00F5485F">
              <w:rPr>
                <w:rFonts w:ascii="Arial Narrow" w:hAnsi="Arial Narrow"/>
                <w:sz w:val="20"/>
                <w:szCs w:val="20"/>
              </w:rPr>
              <w:t>.</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shd w:val="clear" w:color="auto" w:fill="FFFFFF" w:themeFill="background1"/>
            <w:vAlign w:val="center"/>
          </w:tcPr>
          <w:p w:rsidR="00937ABB" w:rsidRPr="00F5485F" w:rsidRDefault="00937ABB" w:rsidP="00374B10">
            <w:pPr>
              <w:pStyle w:val="Bezodstpw"/>
              <w:ind w:right="87"/>
              <w:jc w:val="both"/>
              <w:rPr>
                <w:rFonts w:ascii="Arial Narrow" w:hAnsi="Arial Narrow"/>
                <w:b/>
                <w:bCs/>
                <w:sz w:val="20"/>
                <w:szCs w:val="20"/>
              </w:rPr>
            </w:pPr>
            <w:r w:rsidRPr="00F5485F">
              <w:rPr>
                <w:rFonts w:ascii="Arial Narrow" w:hAnsi="Arial Narrow"/>
                <w:b/>
                <w:bCs/>
                <w:sz w:val="20"/>
                <w:szCs w:val="20"/>
              </w:rPr>
              <w:t>DOKUMENTACJA</w:t>
            </w:r>
          </w:p>
        </w:tc>
        <w:tc>
          <w:tcPr>
            <w:tcW w:w="1985" w:type="dxa"/>
            <w:shd w:val="clear" w:color="auto" w:fill="FFFFFF" w:themeFill="background1"/>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31"/>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bl>
    <w:p w:rsidR="00937ABB"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37ABB" w:rsidRDefault="00937ABB"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2C5C65" w:rsidRPr="00374B10" w:rsidRDefault="00937ABB" w:rsidP="00374B10">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1A2FBA" w:rsidRDefault="001A2FBA" w:rsidP="009E78D3">
      <w:pPr>
        <w:spacing w:after="0" w:line="240" w:lineRule="auto"/>
        <w:rPr>
          <w:rFonts w:ascii="Arial Narrow" w:hAnsi="Arial Narrow" w:cs="Times New Roman"/>
          <w:sz w:val="20"/>
          <w:szCs w:val="20"/>
        </w:rPr>
      </w:pP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2C5C65" w:rsidRPr="00E21C76" w:rsidRDefault="002C5C65" w:rsidP="002C5C65">
      <w:pPr>
        <w:spacing w:after="0" w:line="240" w:lineRule="auto"/>
        <w:jc w:val="center"/>
        <w:rPr>
          <w:rFonts w:ascii="Arial Narrow" w:hAnsi="Arial Narrow" w:cs="Times New Roman"/>
          <w:b/>
        </w:rPr>
      </w:pPr>
    </w:p>
    <w:p w:rsidR="002C5C65" w:rsidRDefault="002C5C65" w:rsidP="002C5C65">
      <w:pPr>
        <w:rPr>
          <w:rFonts w:ascii="Arial Narrow" w:hAnsi="Arial Narrow" w:cs="Times New Roman"/>
          <w:b/>
        </w:rPr>
      </w:pPr>
      <w:r>
        <w:rPr>
          <w:rFonts w:ascii="Arial Narrow" w:hAnsi="Arial Narrow" w:cs="Times New Roman"/>
          <w:b/>
        </w:rPr>
        <w:lastRenderedPageBreak/>
        <w:t>Zadanie III: SPEKTORMETR MASOWY DO OZNACZANIA DROBNOSUTROJÓW.</w:t>
      </w:r>
    </w:p>
    <w:p w:rsidR="002C5C65" w:rsidRDefault="002C5C65" w:rsidP="00937ABB">
      <w:pPr>
        <w:spacing w:after="0" w:line="240" w:lineRule="auto"/>
        <w:jc w:val="right"/>
        <w:rPr>
          <w:rFonts w:ascii="Arial Narrow" w:hAnsi="Arial Narrow" w:cs="Times New Roman"/>
          <w:sz w:val="20"/>
          <w:szCs w:val="20"/>
        </w:rPr>
      </w:pP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 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E78D3">
              <w:rPr>
                <w:rFonts w:ascii="Arial Narrow" w:hAnsi="Arial Narrow"/>
                <w:sz w:val="20"/>
                <w:szCs w:val="20"/>
              </w:rPr>
              <w:t>/NIE</w:t>
            </w:r>
          </w:p>
          <w:p w:rsidR="009E78D3" w:rsidRPr="00564A06" w:rsidRDefault="009E78D3"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9E78D3" w:rsidRDefault="009E78D3" w:rsidP="009E78D3">
            <w:pPr>
              <w:pStyle w:val="Bezodstpw"/>
              <w:rPr>
                <w:rFonts w:ascii="Arial Narrow" w:hAnsi="Arial Narrow"/>
                <w:sz w:val="20"/>
                <w:szCs w:val="20"/>
              </w:rPr>
            </w:pPr>
            <w:r>
              <w:rPr>
                <w:rFonts w:ascii="Arial Narrow" w:hAnsi="Arial Narrow"/>
                <w:sz w:val="20"/>
                <w:szCs w:val="20"/>
              </w:rPr>
              <w:t>Tak – 1 pkt.</w:t>
            </w:r>
          </w:p>
          <w:p w:rsidR="000C4C1B" w:rsidRPr="00564A06" w:rsidRDefault="009E78D3" w:rsidP="009E78D3">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 xml:space="preserve">Tak </w:t>
            </w:r>
            <w:r w:rsidR="009E78D3">
              <w:rPr>
                <w:rFonts w:ascii="Arial Narrow" w:hAnsi="Arial Narrow"/>
                <w:sz w:val="20"/>
                <w:szCs w:val="20"/>
              </w:rPr>
              <w:t xml:space="preserve">lub nie wymaga </w:t>
            </w:r>
            <w:r>
              <w:rPr>
                <w:rFonts w:ascii="Arial Narrow" w:hAnsi="Arial Narrow"/>
                <w:sz w:val="20"/>
                <w:szCs w:val="20"/>
              </w:rPr>
              <w:t>–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 xml:space="preserve">Zintegrowany zestaw pomp próżniowych </w:t>
            </w:r>
            <w:r w:rsidR="00284510">
              <w:rPr>
                <w:rFonts w:ascii="Arial Narrow" w:hAnsi="Arial Narrow"/>
                <w:sz w:val="20"/>
                <w:szCs w:val="20"/>
              </w:rPr>
              <w:t>w tym bezobsługowa (bezolejowa) pompa próżni wstępnej umożliwiająca pracę w pobliżu urządzenia.</w:t>
            </w:r>
          </w:p>
        </w:tc>
        <w:tc>
          <w:tcPr>
            <w:tcW w:w="1984"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284510" w:rsidP="00564A06">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564A06">
            <w:pPr>
              <w:pStyle w:val="Bezodstpw"/>
              <w:rPr>
                <w:rFonts w:ascii="Arial Narrow" w:hAnsi="Arial Narrow"/>
                <w:sz w:val="20"/>
                <w:szCs w:val="20"/>
              </w:rPr>
            </w:pPr>
            <w:r>
              <w:rPr>
                <w:rFonts w:ascii="Arial Narrow" w:hAnsi="Arial Narrow"/>
                <w:sz w:val="20"/>
                <w:szCs w:val="20"/>
              </w:rPr>
              <w:t>Nie – 0 pkt.</w:t>
            </w:r>
          </w:p>
        </w:tc>
      </w:tr>
      <w:tr w:rsidR="00284510" w:rsidRPr="007F6E54" w:rsidTr="00564A06">
        <w:trPr>
          <w:trHeight w:val="23"/>
        </w:trPr>
        <w:tc>
          <w:tcPr>
            <w:tcW w:w="709" w:type="dxa"/>
            <w:vAlign w:val="center"/>
          </w:tcPr>
          <w:p w:rsidR="00284510" w:rsidRPr="00125277" w:rsidRDefault="00284510" w:rsidP="00284510">
            <w:pPr>
              <w:pStyle w:val="Bezodstpw"/>
              <w:numPr>
                <w:ilvl w:val="0"/>
                <w:numId w:val="60"/>
              </w:numPr>
              <w:ind w:left="27" w:firstLine="0"/>
              <w:jc w:val="center"/>
              <w:rPr>
                <w:rFonts w:ascii="Arial Narrow" w:hAnsi="Arial Narrow"/>
                <w:sz w:val="20"/>
                <w:szCs w:val="20"/>
              </w:rPr>
            </w:pPr>
          </w:p>
        </w:tc>
        <w:tc>
          <w:tcPr>
            <w:tcW w:w="6946" w:type="dxa"/>
            <w:vAlign w:val="center"/>
            <w:hideMark/>
          </w:tcPr>
          <w:p w:rsidR="00284510" w:rsidRPr="00564A06" w:rsidRDefault="00284510" w:rsidP="00284510">
            <w:pPr>
              <w:spacing w:after="0" w:line="240" w:lineRule="auto"/>
              <w:jc w:val="both"/>
              <w:rPr>
                <w:rFonts w:ascii="Arial Narrow" w:hAnsi="Arial Narrow"/>
                <w:sz w:val="20"/>
                <w:szCs w:val="20"/>
              </w:rPr>
            </w:pPr>
            <w:r>
              <w:rPr>
                <w:rFonts w:ascii="Arial Narrow" w:hAnsi="Arial Narrow"/>
                <w:sz w:val="20"/>
                <w:szCs w:val="20"/>
              </w:rPr>
              <w:t>Baza identyfikowalnych drobnoustrojów zawierająca minimum 5000 pozycji opisujących co najmniej 2000 gatunków drobnoustrojów.</w:t>
            </w:r>
          </w:p>
        </w:tc>
        <w:tc>
          <w:tcPr>
            <w:tcW w:w="1984" w:type="dxa"/>
            <w:vAlign w:val="center"/>
            <w:hideMark/>
          </w:tcPr>
          <w:p w:rsidR="00284510"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284510" w:rsidRPr="00564A06" w:rsidRDefault="00284510" w:rsidP="00284510">
            <w:pPr>
              <w:pStyle w:val="Bezodstpw"/>
              <w:rPr>
                <w:rFonts w:ascii="Arial Narrow" w:hAnsi="Arial Narrow"/>
                <w:sz w:val="20"/>
                <w:szCs w:val="20"/>
              </w:rPr>
            </w:pPr>
          </w:p>
        </w:tc>
        <w:tc>
          <w:tcPr>
            <w:tcW w:w="1984" w:type="dxa"/>
            <w:vAlign w:val="center"/>
          </w:tcPr>
          <w:p w:rsidR="00284510" w:rsidRDefault="00284510" w:rsidP="00284510">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284510">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45"/>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identyfikacji grzybów pleśniowych (opcja).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testowych.</w:t>
            </w:r>
          </w:p>
        </w:tc>
        <w:tc>
          <w:tcPr>
            <w:tcW w:w="1984" w:type="dxa"/>
            <w:vAlign w:val="center"/>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A867FA">
        <w:trPr>
          <w:trHeight w:val="369"/>
        </w:trPr>
        <w:tc>
          <w:tcPr>
            <w:tcW w:w="709" w:type="dxa"/>
            <w:vAlign w:val="center"/>
            <w:hideMark/>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374B10">
            <w:pPr>
              <w:pStyle w:val="Bezodstpw"/>
              <w:jc w:val="center"/>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374B10">
            <w:pPr>
              <w:pStyle w:val="Bezodstpw"/>
              <w:jc w:val="center"/>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374B10">
            <w:pPr>
              <w:pStyle w:val="Bezodstpw"/>
              <w:jc w:val="center"/>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7E7564">
            <w:pPr>
              <w:pStyle w:val="Bezodstpw"/>
              <w:numPr>
                <w:ilvl w:val="0"/>
                <w:numId w:val="63"/>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374B10">
            <w:pPr>
              <w:pStyle w:val="Bezodstpw"/>
              <w:jc w:val="center"/>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1A2FBA" w:rsidRDefault="001A2FB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6B" w:rsidRDefault="009D796B" w:rsidP="009A7753">
      <w:pPr>
        <w:spacing w:after="0" w:line="240" w:lineRule="auto"/>
      </w:pPr>
      <w:r>
        <w:separator/>
      </w:r>
    </w:p>
  </w:endnote>
  <w:endnote w:type="continuationSeparator" w:id="0">
    <w:p w:rsidR="009D796B" w:rsidRDefault="009D79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317011190"/>
      <w:docPartObj>
        <w:docPartGallery w:val="Page Numbers (Bottom of Page)"/>
        <w:docPartUnique/>
      </w:docPartObj>
    </w:sdtPr>
    <w:sdtContent>
      <w:p w:rsidR="0047303E" w:rsidRPr="0019537E" w:rsidRDefault="0047303E"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75282" w:rsidRPr="00F75282">
          <w:rPr>
            <w:rFonts w:eastAsiaTheme="majorEastAsia" w:cstheme="majorBidi"/>
            <w:noProof/>
            <w:sz w:val="16"/>
            <w:szCs w:val="16"/>
          </w:rPr>
          <w:t>30</w:t>
        </w:r>
        <w:r w:rsidRPr="0019537E">
          <w:rPr>
            <w:rFonts w:eastAsiaTheme="majorEastAsia" w:cstheme="majorBidi"/>
            <w:sz w:val="16"/>
            <w:szCs w:val="16"/>
          </w:rPr>
          <w:fldChar w:fldCharType="end"/>
        </w:r>
      </w:p>
    </w:sdtContent>
  </w:sdt>
  <w:p w:rsidR="0047303E" w:rsidRPr="0019537E" w:rsidRDefault="0047303E"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6B" w:rsidRDefault="009D796B" w:rsidP="009A7753">
      <w:pPr>
        <w:spacing w:after="0" w:line="240" w:lineRule="auto"/>
      </w:pPr>
      <w:r>
        <w:separator/>
      </w:r>
    </w:p>
  </w:footnote>
  <w:footnote w:type="continuationSeparator" w:id="0">
    <w:p w:rsidR="009D796B" w:rsidRDefault="009D796B"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3E" w:rsidRDefault="0047303E"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D3A0C"/>
    <w:multiLevelType w:val="hybridMultilevel"/>
    <w:tmpl w:val="AD201E6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B42B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31E14CE"/>
    <w:multiLevelType w:val="hybridMultilevel"/>
    <w:tmpl w:val="145A0038"/>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146D429A"/>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8690FEF"/>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413603"/>
    <w:multiLevelType w:val="hybridMultilevel"/>
    <w:tmpl w:val="BB68319E"/>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1" w15:restartNumberingAfterBreak="0">
    <w:nsid w:val="2B132288"/>
    <w:multiLevelType w:val="hybridMultilevel"/>
    <w:tmpl w:val="B8DE9A9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969DD"/>
    <w:multiLevelType w:val="hybridMultilevel"/>
    <w:tmpl w:val="7902C0F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0"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6"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1D67C77"/>
    <w:multiLevelType w:val="hybridMultilevel"/>
    <w:tmpl w:val="2FE264A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C14A5"/>
    <w:multiLevelType w:val="hybridMultilevel"/>
    <w:tmpl w:val="94EC8FEE"/>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E33BD2"/>
    <w:multiLevelType w:val="hybridMultilevel"/>
    <w:tmpl w:val="79341BC4"/>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628143A"/>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6"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673508"/>
    <w:multiLevelType w:val="hybridMultilevel"/>
    <w:tmpl w:val="ABD247F2"/>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E4E59"/>
    <w:multiLevelType w:val="hybridMultilevel"/>
    <w:tmpl w:val="9EF0FFD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22B3B"/>
    <w:multiLevelType w:val="hybridMultilevel"/>
    <w:tmpl w:val="8E9EE904"/>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06657"/>
    <w:multiLevelType w:val="hybridMultilevel"/>
    <w:tmpl w:val="92789D60"/>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94698"/>
    <w:multiLevelType w:val="hybridMultilevel"/>
    <w:tmpl w:val="F56261D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15E02"/>
    <w:multiLevelType w:val="hybridMultilevel"/>
    <w:tmpl w:val="BC4AF19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8F4AAF"/>
    <w:multiLevelType w:val="hybridMultilevel"/>
    <w:tmpl w:val="3FB46CD4"/>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B7D3C"/>
    <w:multiLevelType w:val="hybridMultilevel"/>
    <w:tmpl w:val="71A4337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4"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3"/>
  </w:num>
  <w:num w:numId="3">
    <w:abstractNumId w:val="85"/>
  </w:num>
  <w:num w:numId="4">
    <w:abstractNumId w:val="24"/>
  </w:num>
  <w:num w:numId="5">
    <w:abstractNumId w:val="38"/>
  </w:num>
  <w:num w:numId="6">
    <w:abstractNumId w:val="42"/>
  </w:num>
  <w:num w:numId="7">
    <w:abstractNumId w:val="35"/>
  </w:num>
  <w:num w:numId="8">
    <w:abstractNumId w:val="21"/>
  </w:num>
  <w:num w:numId="9">
    <w:abstractNumId w:val="47"/>
  </w:num>
  <w:num w:numId="10">
    <w:abstractNumId w:val="67"/>
  </w:num>
  <w:num w:numId="11">
    <w:abstractNumId w:val="55"/>
  </w:num>
  <w:num w:numId="12">
    <w:abstractNumId w:val="53"/>
  </w:num>
  <w:num w:numId="13">
    <w:abstractNumId w:val="40"/>
  </w:num>
  <w:num w:numId="14">
    <w:abstractNumId w:val="26"/>
  </w:num>
  <w:num w:numId="15">
    <w:abstractNumId w:val="52"/>
  </w:num>
  <w:num w:numId="16">
    <w:abstractNumId w:val="25"/>
  </w:num>
  <w:num w:numId="17">
    <w:abstractNumId w:val="48"/>
  </w:num>
  <w:num w:numId="18">
    <w:abstractNumId w:val="41"/>
  </w:num>
  <w:num w:numId="19">
    <w:abstractNumId w:val="58"/>
  </w:num>
  <w:num w:numId="20">
    <w:abstractNumId w:val="65"/>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18"/>
  </w:num>
  <w:num w:numId="23">
    <w:abstractNumId w:val="76"/>
  </w:num>
  <w:num w:numId="24">
    <w:abstractNumId w:val="44"/>
  </w:num>
  <w:num w:numId="25">
    <w:abstractNumId w:val="80"/>
  </w:num>
  <w:num w:numId="26">
    <w:abstractNumId w:val="36"/>
  </w:num>
  <w:num w:numId="27">
    <w:abstractNumId w:val="16"/>
  </w:num>
  <w:num w:numId="28">
    <w:abstractNumId w:val="28"/>
  </w:num>
  <w:num w:numId="29">
    <w:abstractNumId w:val="39"/>
  </w:num>
  <w:num w:numId="30">
    <w:abstractNumId w:val="79"/>
  </w:num>
  <w:num w:numId="31">
    <w:abstractNumId w:val="34"/>
  </w:num>
  <w:num w:numId="32">
    <w:abstractNumId w:val="64"/>
  </w:num>
  <w:num w:numId="33">
    <w:abstractNumId w:val="57"/>
  </w:num>
  <w:num w:numId="34">
    <w:abstractNumId w:val="60"/>
  </w:num>
  <w:num w:numId="35">
    <w:abstractNumId w:val="15"/>
  </w:num>
  <w:num w:numId="36">
    <w:abstractNumId w:val="19"/>
  </w:num>
  <w:num w:numId="37">
    <w:abstractNumId w:val="17"/>
  </w:num>
  <w:num w:numId="38">
    <w:abstractNumId w:val="62"/>
  </w:num>
  <w:num w:numId="39">
    <w:abstractNumId w:val="43"/>
  </w:num>
  <w:num w:numId="40">
    <w:abstractNumId w:val="66"/>
  </w:num>
  <w:num w:numId="41">
    <w:abstractNumId w:val="51"/>
  </w:num>
  <w:num w:numId="42">
    <w:abstractNumId w:val="84"/>
  </w:num>
  <w:num w:numId="43">
    <w:abstractNumId w:val="45"/>
  </w:num>
  <w:num w:numId="44">
    <w:abstractNumId w:val="14"/>
  </w:num>
  <w:num w:numId="45">
    <w:abstractNumId w:val="68"/>
  </w:num>
  <w:num w:numId="46">
    <w:abstractNumId w:val="12"/>
  </w:num>
  <w:num w:numId="47">
    <w:abstractNumId w:val="46"/>
  </w:num>
  <w:num w:numId="48">
    <w:abstractNumId w:val="33"/>
  </w:num>
  <w:num w:numId="49">
    <w:abstractNumId w:val="59"/>
  </w:num>
  <w:num w:numId="50">
    <w:abstractNumId w:val="77"/>
  </w:num>
  <w:num w:numId="51">
    <w:abstractNumId w:val="50"/>
  </w:num>
  <w:num w:numId="52">
    <w:abstractNumId w:val="37"/>
  </w:num>
  <w:num w:numId="53">
    <w:abstractNumId w:val="63"/>
  </w:num>
  <w:num w:numId="54">
    <w:abstractNumId w:val="78"/>
  </w:num>
  <w:num w:numId="55">
    <w:abstractNumId w:val="72"/>
  </w:num>
  <w:num w:numId="56">
    <w:abstractNumId w:val="69"/>
  </w:num>
  <w:num w:numId="57">
    <w:abstractNumId w:val="22"/>
  </w:num>
  <w:num w:numId="58">
    <w:abstractNumId w:val="54"/>
  </w:num>
  <w:num w:numId="59">
    <w:abstractNumId w:val="10"/>
  </w:num>
  <w:num w:numId="60">
    <w:abstractNumId w:val="81"/>
  </w:num>
  <w:num w:numId="61">
    <w:abstractNumId w:val="32"/>
  </w:num>
  <w:num w:numId="62">
    <w:abstractNumId w:val="31"/>
  </w:num>
  <w:num w:numId="63">
    <w:abstractNumId w:val="82"/>
  </w:num>
  <w:num w:numId="64">
    <w:abstractNumId w:val="75"/>
  </w:num>
  <w:num w:numId="65">
    <w:abstractNumId w:val="49"/>
  </w:num>
  <w:num w:numId="66">
    <w:abstractNumId w:val="73"/>
  </w:num>
  <w:num w:numId="67">
    <w:abstractNumId w:val="61"/>
  </w:num>
  <w:num w:numId="68">
    <w:abstractNumId w:val="70"/>
  </w:num>
  <w:num w:numId="69">
    <w:abstractNumId w:val="11"/>
  </w:num>
  <w:num w:numId="70">
    <w:abstractNumId w:val="74"/>
  </w:num>
  <w:num w:numId="71">
    <w:abstractNumId w:val="71"/>
  </w:num>
  <w:num w:numId="72">
    <w:abstractNumId w:val="30"/>
  </w:num>
  <w:num w:numId="73">
    <w:abstractNumId w:val="56"/>
  </w:num>
  <w:num w:numId="74">
    <w:abstractNumId w:val="23"/>
  </w:num>
  <w:num w:numId="75">
    <w:abstractNumId w:val="29"/>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0A9C"/>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303E"/>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67E4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D796B"/>
    <w:rsid w:val="009E1122"/>
    <w:rsid w:val="009E19BC"/>
    <w:rsid w:val="009E2C02"/>
    <w:rsid w:val="009E2C18"/>
    <w:rsid w:val="009E3C7E"/>
    <w:rsid w:val="009E3D1E"/>
    <w:rsid w:val="009E4432"/>
    <w:rsid w:val="009E4A62"/>
    <w:rsid w:val="009E5D76"/>
    <w:rsid w:val="009E6492"/>
    <w:rsid w:val="009E78D3"/>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4AC8"/>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727"/>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D70E8"/>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27C4F"/>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485F"/>
    <w:rsid w:val="00F560C5"/>
    <w:rsid w:val="00F5707B"/>
    <w:rsid w:val="00F6040C"/>
    <w:rsid w:val="00F70882"/>
    <w:rsid w:val="00F721D7"/>
    <w:rsid w:val="00F7367D"/>
    <w:rsid w:val="00F75282"/>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943E"/>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0FF9-7B3D-425C-9AC4-F3CB3A2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11365</Words>
  <Characters>68194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cp:revision>
  <cp:lastPrinted>2017-11-24T12:17:00Z</cp:lastPrinted>
  <dcterms:created xsi:type="dcterms:W3CDTF">2017-11-24T15:27:00Z</dcterms:created>
  <dcterms:modified xsi:type="dcterms:W3CDTF">2017-11-24T15:37:00Z</dcterms:modified>
</cp:coreProperties>
</file>