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(t.j. Dz.U. 2015, poz. 2164, z</w:t>
      </w:r>
      <w:r w:rsidR="009613D2" w:rsidRPr="00AB0EC6">
        <w:rPr>
          <w:rFonts w:ascii="Arial Narrow" w:hAnsi="Arial Narrow" w:cs="Times New Roman"/>
        </w:rPr>
        <w:t> </w:t>
      </w:r>
      <w:r w:rsidR="000673FA" w:rsidRPr="00AB0EC6">
        <w:rPr>
          <w:rFonts w:ascii="Arial Narrow" w:hAnsi="Arial Narrow" w:cs="Times New Roman"/>
        </w:rPr>
        <w:t>późn.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sprzętu i aparatury medycznej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2016r., posiadające oznakowanie umożliwiające i</w:t>
      </w:r>
      <w:r>
        <w:rPr>
          <w:rFonts w:ascii="Arial Narrow" w:hAnsi="Arial Narrow" w:cs="Times New Roman"/>
        </w:rPr>
        <w:t>dentyfikację produktu oraz producenta.</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A76BE8">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351F74" w:rsidRPr="00351F74">
        <w:t xml:space="preserve"> </w:t>
      </w:r>
      <w:r w:rsidR="00351F74" w:rsidRPr="00351F74">
        <w:rPr>
          <w:rFonts w:ascii="Arial Narrow" w:hAnsi="Arial Narrow" w:cs="Times New Roman"/>
        </w:rPr>
        <w:t>33124110-9</w:t>
      </w:r>
      <w:r w:rsidR="00795275">
        <w:rPr>
          <w:rFonts w:ascii="Arial Narrow" w:hAnsi="Arial Narrow" w:cs="Times New Roman"/>
        </w:rPr>
        <w:t>;</w:t>
      </w:r>
      <w:r w:rsidR="00351F74">
        <w:rPr>
          <w:rFonts w:ascii="Arial Narrow" w:hAnsi="Arial Narrow" w:cs="Times New Roman"/>
        </w:rPr>
        <w:t xml:space="preserve"> </w:t>
      </w:r>
      <w:r w:rsidR="00351F74" w:rsidRPr="00351F74">
        <w:rPr>
          <w:rFonts w:ascii="Arial Narrow" w:hAnsi="Arial Narrow" w:cs="Times New Roman"/>
        </w:rPr>
        <w:t>33128000-3</w:t>
      </w:r>
      <w:r w:rsidR="00351F74">
        <w:rPr>
          <w:rFonts w:ascii="Arial Narrow" w:hAnsi="Arial Narrow" w:cs="Times New Roman"/>
        </w:rPr>
        <w:t>;</w:t>
      </w:r>
      <w:r w:rsidR="001B4F08">
        <w:rPr>
          <w:rFonts w:ascii="Arial Narrow" w:hAnsi="Arial Narrow" w:cs="Times New Roman"/>
        </w:rPr>
        <w:t xml:space="preserve"> </w:t>
      </w:r>
      <w:r w:rsidR="001B4F08" w:rsidRPr="001B4F08">
        <w:rPr>
          <w:rFonts w:ascii="Arial Narrow" w:hAnsi="Arial Narrow" w:cs="Times New Roman"/>
        </w:rPr>
        <w:t>30213000-5</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1B4F08" w:rsidRPr="001B4F08">
        <w:rPr>
          <w:rFonts w:ascii="Arial Narrow" w:hAnsi="Arial Narrow" w:cs="Times New Roman"/>
        </w:rPr>
        <w:t>33124100-6</w:t>
      </w:r>
      <w:r w:rsidR="00A76BE8">
        <w:rPr>
          <w:rFonts w:ascii="Arial Narrow" w:hAnsi="Arial Narrow" w:cs="Times New Roman"/>
        </w:rPr>
        <w:t xml:space="preserve">; </w:t>
      </w:r>
      <w:r w:rsidR="00A76BE8" w:rsidRPr="00A76BE8">
        <w:rPr>
          <w:rFonts w:ascii="Arial Narrow" w:hAnsi="Arial Narrow"/>
        </w:rPr>
        <w:t>39711110-3;</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dokumentacji i archiwizacji wyników elektroforezy.</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2 – </w:t>
      </w:r>
      <w:r w:rsidR="00E16CE3">
        <w:rPr>
          <w:rFonts w:ascii="Arial Narrow" w:hAnsi="Arial Narrow" w:cs="Times New Roman"/>
          <w:b/>
        </w:rPr>
        <w:tab/>
      </w:r>
      <w:r w:rsidRPr="004204D4">
        <w:rPr>
          <w:rFonts w:ascii="Arial Narrow" w:hAnsi="Arial Narrow" w:cs="Times New Roman"/>
          <w:b/>
        </w:rPr>
        <w:t>System do multipleksowej analizy kwasów nukleinowych  i białek wraz z oprzyrządowaniem i oprogramowaniem.</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3 –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lastRenderedPageBreak/>
        <w:t xml:space="preserve">Zadanie nr 4 </w:t>
      </w:r>
      <w:r>
        <w:rPr>
          <w:rFonts w:ascii="Arial Narrow" w:hAnsi="Arial Narrow" w:cs="Times New Roman"/>
          <w:b/>
        </w:rPr>
        <w:t>–</w:t>
      </w:r>
      <w:r w:rsidRPr="004204D4">
        <w:rPr>
          <w:rFonts w:ascii="Arial Narrow" w:hAnsi="Arial Narrow" w:cs="Times New Roman"/>
          <w:b/>
        </w:rPr>
        <w:t xml:space="preserve"> </w:t>
      </w:r>
      <w:r w:rsidR="00E16CE3">
        <w:rPr>
          <w:rFonts w:ascii="Arial Narrow" w:hAnsi="Arial Narrow" w:cs="Times New Roman"/>
          <w:b/>
        </w:rPr>
        <w:tab/>
      </w:r>
      <w:r>
        <w:rPr>
          <w:rFonts w:ascii="Arial Narrow" w:hAnsi="Arial Narrow" w:cs="Times New Roman"/>
          <w:b/>
        </w:rPr>
        <w:t xml:space="preserve">Mobilne urządzenie umożliwiające prowadzenie rozmów </w:t>
      </w:r>
      <w:r w:rsidR="00E16CE3">
        <w:rPr>
          <w:rFonts w:ascii="Arial Narrow" w:hAnsi="Arial Narrow" w:cs="Times New Roman"/>
          <w:b/>
        </w:rPr>
        <w:t xml:space="preserve">telefonicznych oraz posiadając </w:t>
      </w:r>
      <w:r>
        <w:rPr>
          <w:rFonts w:ascii="Arial Narrow" w:hAnsi="Arial Narrow" w:cs="Times New Roman"/>
          <w:b/>
        </w:rPr>
        <w:t>możliwość dostępu do internetu.</w:t>
      </w:r>
    </w:p>
    <w:p w:rsidR="003E24FB" w:rsidRPr="004204D4" w:rsidRDefault="003E24FB" w:rsidP="00E16CE3">
      <w:pPr>
        <w:pStyle w:val="Bezodstpw"/>
        <w:ind w:left="1843" w:hanging="1559"/>
        <w:jc w:val="both"/>
        <w:rPr>
          <w:rFonts w:ascii="Arial Narrow" w:hAnsi="Arial Narrow" w:cs="Times New Roman"/>
          <w:b/>
        </w:rPr>
      </w:pPr>
      <w:r>
        <w:rPr>
          <w:rFonts w:ascii="Arial Narrow" w:hAnsi="Arial Narrow" w:cs="Times New Roman"/>
          <w:b/>
        </w:rPr>
        <w:t xml:space="preserve">Zadanie nr 5 – </w:t>
      </w:r>
      <w:r>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13196C" w:rsidRDefault="0013196C" w:rsidP="008F41C6">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457D88">
        <w:rPr>
          <w:rFonts w:ascii="Arial Narrow" w:hAnsi="Arial Narrow" w:cs="Times New Roman"/>
        </w:rPr>
        <w:t>6</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spełniania przez dostarczone urządzenia parametrów funkcjonalno-użytkowych opisanych w siwz</w:t>
      </w:r>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CD07AB" w:rsidRDefault="00CD07AB"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w:t>
      </w:r>
      <w:r w:rsidR="009405E2">
        <w:rPr>
          <w:rFonts w:ascii="Arial Narrow" w:hAnsi="Arial Narrow" w:cs="Times New Roman"/>
        </w:rPr>
        <w:t>zaoferowany sprzęt i aparatura medyczna</w:t>
      </w:r>
      <w:r>
        <w:rPr>
          <w:rFonts w:ascii="Arial Narrow" w:hAnsi="Arial Narrow" w:cs="Times New Roman"/>
        </w:rPr>
        <w:t xml:space="preserve"> </w:t>
      </w:r>
      <w:r w:rsidR="00732910">
        <w:rPr>
          <w:rFonts w:ascii="Arial Narrow" w:hAnsi="Arial Narrow" w:cs="Times New Roman"/>
        </w:rPr>
        <w:t>zostały wyprodukowa</w:t>
      </w:r>
      <w:r w:rsidR="009405E2">
        <w:rPr>
          <w:rFonts w:ascii="Arial Narrow" w:hAnsi="Arial Narrow" w:cs="Times New Roman"/>
        </w:rPr>
        <w:t>ne zgodnie z normą ISO 9001:2008</w:t>
      </w:r>
      <w:r w:rsidR="00732910">
        <w:rPr>
          <w:rFonts w:ascii="Arial Narrow" w:hAnsi="Arial Narrow" w:cs="Times New Roman"/>
        </w:rPr>
        <w:t xml:space="preserve"> lub normą równoważn</w:t>
      </w:r>
      <w:r w:rsidR="00590740">
        <w:rPr>
          <w:rFonts w:ascii="Arial Narrow" w:hAnsi="Arial Narrow" w:cs="Times New Roman"/>
        </w:rPr>
        <w:t>ą</w:t>
      </w:r>
      <w:r w:rsidR="009405E2">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opis techniczny zawierający parametry funkcjonalno-użytkowe </w:t>
      </w:r>
      <w:r w:rsidRPr="009405E2">
        <w:rPr>
          <w:rFonts w:ascii="Arial Narrow" w:hAnsi="Arial Narrow" w:cs="Times New Roman"/>
        </w:rPr>
        <w:t>oferowanego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F85431"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F85431"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lastRenderedPageBreak/>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zabezpieczenie oferty przed zdekompletowaniem poprzez jej zszycie lub zbindowanie</w:t>
      </w:r>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(t.j. Dz.U. 2003r., nr 153, poz. 1503, z późn.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(t.j. Dz.U. 2015, poz. 2164, z późn.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13</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57D88">
        <w:rPr>
          <w:rFonts w:ascii="Arial Narrow" w:hAnsi="Arial Narrow" w:cs="Times New Roman"/>
          <w:b/>
        </w:rPr>
        <w:t>13</w:t>
      </w:r>
      <w:r w:rsidR="00DC377E">
        <w:rPr>
          <w:rFonts w:ascii="Arial Narrow" w:hAnsi="Arial Narrow" w:cs="Times New Roman"/>
          <w:b/>
        </w:rPr>
        <w:t xml:space="preserve"> września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lastRenderedPageBreak/>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 przeglądy  - 40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24h od zgłoszenia  - 15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BC2372">
            <w:pPr>
              <w:pStyle w:val="Akapitzlist"/>
              <w:numPr>
                <w:ilvl w:val="0"/>
                <w:numId w:val="35"/>
              </w:numPr>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8 lat – 10 puntków;</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8B73EF">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h do uzyskania w kryterium  - 15</w:t>
            </w:r>
            <w:r w:rsidRPr="003F0D78">
              <w:rPr>
                <w:rFonts w:ascii="Arial Narrow" w:hAnsi="Arial Narrow" w:cs="Arial Narrow"/>
                <w:sz w:val="20"/>
                <w:szCs w:val="20"/>
              </w:rPr>
              <w:t>1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D65DE5" w:rsidRDefault="003907C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2B571F" w:rsidRDefault="002B571F" w:rsidP="002B571F">
      <w:pPr>
        <w:pStyle w:val="Akapitzlist"/>
        <w:ind w:left="284"/>
        <w:jc w:val="both"/>
        <w:rPr>
          <w:rFonts w:ascii="Arial Narrow" w:hAnsi="Arial Narrow" w:cs="Times New Roman"/>
        </w:rPr>
      </w:pPr>
    </w:p>
    <w:p w:rsidR="002B571F" w:rsidRPr="00AB0EC6" w:rsidRDefault="002B571F" w:rsidP="002B571F">
      <w:pPr>
        <w:pStyle w:val="Akapitzlist"/>
        <w:ind w:left="284"/>
        <w:jc w:val="both"/>
        <w:rPr>
          <w:rFonts w:ascii="Arial Narrow" w:hAnsi="Arial Narrow" w:cs="Times New Roman"/>
        </w:rPr>
      </w:pP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lastRenderedPageBreak/>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instalacji i konfiguracji przedmiotu dostawy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lastRenderedPageBreak/>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w:t>
      </w:r>
      <w:r w:rsidR="00B8593B">
        <w:rPr>
          <w:rFonts w:ascii="Arial Narrow" w:hAnsi="Arial Narrow" w:cs="Times New Roman"/>
        </w:rPr>
        <w:t>017r., poz. 2164, z późn. zm.).</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w:t>
      </w:r>
      <w:r w:rsidR="00B8593B">
        <w:rPr>
          <w:rFonts w:ascii="Arial Narrow" w:hAnsi="Arial Narrow" w:cs="Times New Roman"/>
        </w:rPr>
        <w:t>przedmiocie dostawy</w:t>
      </w:r>
      <w:r w:rsidRPr="004A7A03">
        <w:rPr>
          <w:rFonts w:ascii="Arial Narrow" w:hAnsi="Arial Narrow" w:cs="Times New Roman"/>
        </w:rPr>
        <w:t xml:space="preserve">, wykonawca nie wykonał obowiązków wynikających z rękojmi lub gwarancji;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1356E6" w:rsidRDefault="001356E6" w:rsidP="001F1FDE">
      <w:pPr>
        <w:rPr>
          <w:rFonts w:ascii="Arial Narrow" w:hAnsi="Arial Narrow" w:cs="Times New Roman"/>
        </w:rPr>
      </w:pPr>
    </w:p>
    <w:p w:rsidR="00CC4194" w:rsidRPr="00AB0EC6" w:rsidRDefault="00CC4194" w:rsidP="001F1FDE">
      <w:pPr>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przedmiotu zamówienia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opakowania,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instalacji i konfiguracji przedmiotu dostawy w wysokości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lastRenderedPageBreak/>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lastRenderedPageBreak/>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Zadanie nr 1 – </w:t>
      </w:r>
      <w:r w:rsidRPr="004204D4">
        <w:rPr>
          <w:rFonts w:ascii="Arial Narrow" w:hAnsi="Arial Narrow" w:cs="Times New Roman"/>
          <w:b/>
        </w:rPr>
        <w:t>Urządzenie</w:t>
      </w:r>
      <w:r>
        <w:rPr>
          <w:rFonts w:ascii="Arial Narrow" w:hAnsi="Arial Narrow" w:cs="Times New Roman"/>
          <w:b/>
        </w:rPr>
        <w:t xml:space="preserve"> </w:t>
      </w:r>
      <w:r w:rsidRPr="004204D4">
        <w:rPr>
          <w:rFonts w:ascii="Arial Narrow" w:hAnsi="Arial Narrow" w:cs="Times New Roman"/>
          <w:b/>
        </w:rPr>
        <w:t>do dokumentacji i archiwizacji wyników elektroforezy.</w:t>
      </w:r>
    </w:p>
    <w:p w:rsidR="003E2260" w:rsidRPr="00AB0EC6" w:rsidRDefault="003E2260" w:rsidP="00CC4194">
      <w:pPr>
        <w:ind w:left="1134" w:hanging="1134"/>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DA2367" w:rsidRPr="00AB0EC6" w:rsidTr="00450033">
        <w:tc>
          <w:tcPr>
            <w:tcW w:w="50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DA2367" w:rsidRPr="00AB0EC6" w:rsidRDefault="003F0D78" w:rsidP="003F0D78">
            <w:pPr>
              <w:jc w:val="center"/>
              <w:rPr>
                <w:rFonts w:ascii="Arial Narrow" w:hAnsi="Arial Narrow" w:cs="Times New Roman"/>
                <w:b/>
              </w:rPr>
            </w:pPr>
            <w:r>
              <w:rPr>
                <w:rFonts w:ascii="Arial Narrow" w:hAnsi="Arial Narrow" w:cs="Times New Roman"/>
                <w:b/>
              </w:rPr>
              <w:t>Producent</w:t>
            </w:r>
          </w:p>
        </w:tc>
      </w:tr>
      <w:tr w:rsidR="004C3EC8" w:rsidRPr="00AB0EC6" w:rsidTr="00450033">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4677" w:type="dxa"/>
            <w:vAlign w:val="center"/>
          </w:tcPr>
          <w:p w:rsidR="00A10B7C" w:rsidRPr="00DB69DA" w:rsidRDefault="004C3475" w:rsidP="00A10B7C">
            <w:pPr>
              <w:jc w:val="both"/>
              <w:rPr>
                <w:rFonts w:ascii="Arial Narrow" w:hAnsi="Arial Narrow" w:cs="Times New Roman"/>
                <w:b/>
              </w:rPr>
            </w:pPr>
            <w:r w:rsidRPr="00DB69DA">
              <w:rPr>
                <w:rFonts w:ascii="Arial Narrow" w:hAnsi="Arial Narrow" w:cs="Times New Roman"/>
                <w:b/>
              </w:rPr>
              <w:t>Urządzenie do dokumentacji i archiwizacji wyników elektroforezy o następujących parametrach funkcjonalno-użytkowych:</w:t>
            </w:r>
          </w:p>
        </w:tc>
        <w:tc>
          <w:tcPr>
            <w:tcW w:w="709" w:type="dxa"/>
            <w:vAlign w:val="center"/>
          </w:tcPr>
          <w:p w:rsidR="004C3EC8" w:rsidRPr="00DB69DA" w:rsidRDefault="00875D69" w:rsidP="00E8387E">
            <w:pPr>
              <w:jc w:val="center"/>
              <w:rPr>
                <w:rFonts w:ascii="Arial Narrow" w:hAnsi="Arial Narrow" w:cs="Times New Roman"/>
                <w:b/>
              </w:rPr>
            </w:pPr>
            <w:r>
              <w:rPr>
                <w:rFonts w:ascii="Arial Narrow" w:hAnsi="Arial Narrow" w:cs="Times New Roman"/>
                <w:b/>
              </w:rPr>
              <w:t>szt</w:t>
            </w:r>
            <w:r w:rsidR="00DA2367" w:rsidRPr="00DB69DA">
              <w:rPr>
                <w:rFonts w:ascii="Arial Narrow" w:hAnsi="Arial Narrow" w:cs="Times New Roman"/>
                <w:b/>
              </w:rPr>
              <w:t>.</w:t>
            </w:r>
          </w:p>
        </w:tc>
        <w:tc>
          <w:tcPr>
            <w:tcW w:w="1559" w:type="dxa"/>
            <w:vAlign w:val="center"/>
          </w:tcPr>
          <w:p w:rsidR="004C3EC8" w:rsidRPr="00AB0EC6" w:rsidRDefault="004C3EC8" w:rsidP="005607A0">
            <w:pPr>
              <w:jc w:val="center"/>
              <w:rPr>
                <w:rFonts w:ascii="Arial Narrow" w:hAnsi="Arial Narrow" w:cs="Times New Roman"/>
              </w:rPr>
            </w:pPr>
          </w:p>
        </w:tc>
        <w:tc>
          <w:tcPr>
            <w:tcW w:w="851" w:type="dxa"/>
            <w:vAlign w:val="center"/>
          </w:tcPr>
          <w:p w:rsidR="004C3EC8" w:rsidRPr="00AB0EC6" w:rsidRDefault="00DB69DA" w:rsidP="00700EB1">
            <w:pPr>
              <w:jc w:val="center"/>
              <w:rPr>
                <w:rFonts w:ascii="Arial Narrow" w:hAnsi="Arial Narrow" w:cs="Times New Roman"/>
                <w:b/>
              </w:rPr>
            </w:pPr>
            <w:r>
              <w:rPr>
                <w:rFonts w:ascii="Arial Narrow" w:hAnsi="Arial Narrow" w:cs="Times New Roman"/>
                <w:b/>
              </w:rPr>
              <w:t>1</w:t>
            </w:r>
          </w:p>
        </w:tc>
        <w:tc>
          <w:tcPr>
            <w:tcW w:w="1559" w:type="dxa"/>
            <w:vAlign w:val="center"/>
          </w:tcPr>
          <w:p w:rsidR="004C3EC8" w:rsidRPr="00AB0EC6" w:rsidRDefault="004C3EC8" w:rsidP="005607A0">
            <w:pPr>
              <w:jc w:val="center"/>
              <w:rPr>
                <w:rFonts w:ascii="Arial Narrow" w:hAnsi="Arial Narrow" w:cs="Times New Roman"/>
                <w:b/>
              </w:rPr>
            </w:pPr>
          </w:p>
        </w:tc>
        <w:tc>
          <w:tcPr>
            <w:tcW w:w="851" w:type="dxa"/>
            <w:vAlign w:val="center"/>
          </w:tcPr>
          <w:p w:rsidR="004C3EC8" w:rsidRPr="00AB0EC6" w:rsidRDefault="004C3EC8" w:rsidP="005607A0">
            <w:pPr>
              <w:jc w:val="center"/>
              <w:rPr>
                <w:rFonts w:ascii="Arial Narrow" w:hAnsi="Arial Narrow" w:cs="Times New Roman"/>
              </w:rPr>
            </w:pPr>
          </w:p>
        </w:tc>
        <w:tc>
          <w:tcPr>
            <w:tcW w:w="1701" w:type="dxa"/>
            <w:vAlign w:val="center"/>
          </w:tcPr>
          <w:p w:rsidR="004C3EC8" w:rsidRPr="00AB0EC6" w:rsidRDefault="004C3EC8" w:rsidP="005607A0">
            <w:pPr>
              <w:jc w:val="center"/>
              <w:rPr>
                <w:rFonts w:ascii="Arial Narrow" w:hAnsi="Arial Narrow" w:cs="Times New Roman"/>
              </w:rPr>
            </w:pPr>
          </w:p>
        </w:tc>
        <w:tc>
          <w:tcPr>
            <w:tcW w:w="3545" w:type="dxa"/>
            <w:vAlign w:val="center"/>
          </w:tcPr>
          <w:p w:rsidR="004C3EC8" w:rsidRPr="00AB0EC6" w:rsidRDefault="004C3EC8" w:rsidP="005607A0">
            <w:pPr>
              <w:jc w:val="center"/>
              <w:rPr>
                <w:rFonts w:ascii="Arial Narrow" w:hAnsi="Arial Narrow" w:cs="Times New Roman"/>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Pr="00AB0EC6" w:rsidRDefault="002D05A8" w:rsidP="00A10B7C">
            <w:pPr>
              <w:jc w:val="both"/>
              <w:rPr>
                <w:rFonts w:ascii="Arial Narrow" w:hAnsi="Arial Narrow" w:cs="Times New Roman"/>
              </w:rPr>
            </w:pPr>
            <w:r>
              <w:rPr>
                <w:rFonts w:ascii="Arial Narrow" w:hAnsi="Arial Narrow" w:cs="Times New Roman"/>
              </w:rPr>
              <w:t>Możliwość wizualizacji, zapisu i analizy próbek znakowanych kolorystycznie, chemiluminescencyjnie oraz w technologii bez wybarwiania żeli „stain-free”;</w:t>
            </w:r>
          </w:p>
        </w:tc>
        <w:tc>
          <w:tcPr>
            <w:tcW w:w="10775" w:type="dxa"/>
            <w:gridSpan w:val="7"/>
            <w:vMerge w:val="restart"/>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wizualizacji próbek znakowanych fluorescencyjnie;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Automatyczne rozpoznawanie tac i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wysuwania prowadnicy w celu umieszczenia żelu lub bloku;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Detekcja za pomocą kamery z przetwornikiem CCD, 6,05MPX;</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Kalibracja ostrości dla każdego ustawienia zoom’u lub wysokości próby;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Chłodzenie kamery, temperatura chłodzenia &lt;/= -15°;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Zakres dynamiczny sygnału kamery minimum 4 rzędy wielkości (65 535 odcieni szarości);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automatycznej akwizycji obrazów;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chemiluminescencji, ( tryb szybki, tryb optymalny auto-ekspozycyjny);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poza chemiluminescencyjnego aplikacji (intensywne prążki, słabe prążki);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Tryb akwizycji z akumulacją obrazów pośrednich – optymalny dobór akwizycji dla chemiluminescencji;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Dwie tace do aplikacji chemiluminescensji (UV, „stain-free” do barwników chemiluminescencyjnych, EtBr, SybrGreen, SybrSafe, SybrGold, GelGreen, GelRed, fluoresceina, OliGreen, Oriole, Sypro Ruby, Coomassie Fluor Orange, Alexa Fluor 488, Dy Light 488, Qdot 525, Qdot 565, Qdot 625);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Maksymalne pole obrazowania 21x16,8 cm;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Możliwość zapisu obrazów żeli, blotów białkowych i detakcji białka bez wybarwiania żeli oraz blotów w technologii „stain-free”;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Korekcja niedoskonałości obrazu;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Długość fali światła UV – 302nm;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Panel przedni do starowania, zbierania i zarządzania obrazami z dwupunktowym ekranem dotykowym o przekątnej 12’’;</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pracy urządzenia do zbierania danych bez konieczności podłączania do komputera klasy PC;</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Wbudowany port Ethernet umożliwiający przenoszenie danych poprzez sieć LAN;</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BE2B4F">
            <w:pPr>
              <w:jc w:val="both"/>
              <w:rPr>
                <w:rFonts w:ascii="Arial Narrow" w:hAnsi="Arial Narrow" w:cs="Times New Roman"/>
              </w:rPr>
            </w:pPr>
            <w:r>
              <w:rPr>
                <w:rFonts w:ascii="Arial Narrow" w:hAnsi="Arial Narrow" w:cs="Times New Roman"/>
              </w:rPr>
              <w:t>Wbudowane porty USB umożliwiające przenoszenie danych do pamięci zewnętrznych  - minimum trzy porty USB;</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analiz fluoroscencyjnych w kanałach: niebieskim, zielonym, czerwonym, dalekiej czerwieni, bliskiej podczerwieni;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Pomiary z automatycznym wykonywaniem i obróbką zdjęć oraz raportowaniem wyników;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umożliwiające tworzenie krzywych kalibracyjnych i analiz ilościowych;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Nielimitowana liczba licencji oprogramowania do akwizycji i analizy obrazu, obliczeń ilościowych i jakościowych;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zdefiniowania wielu kont chronionych hasłem;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Obróbka obrazu umożliwiająca obrót o dowolny kąt, regulację jasności i kontrastu pod kątem wybranego fragmentu lub całego żelu, tworzenia negatywu;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do automatycznego rozpoznawania ścieżek i prążków;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1744F4">
            <w:pPr>
              <w:jc w:val="both"/>
              <w:rPr>
                <w:rFonts w:ascii="Arial Narrow" w:hAnsi="Arial Narrow" w:cs="Times New Roman"/>
              </w:rPr>
            </w:pPr>
            <w:r>
              <w:rPr>
                <w:rFonts w:ascii="Arial Narrow" w:hAnsi="Arial Narrow" w:cs="Times New Roman"/>
              </w:rPr>
              <w:t>Oprogramowanie do normalizacji w technologii „stein-free” dla białek całkowitych.;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Funkcja normalizacji do pojedynczego białka w opcji chemiluminescencji; Możliwość przeprowadzenia kwalifikacji IQ/oQ – licencjonowana wersja oprogramowania z CFR 21 Part 11;</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wyposażenia w tacę konwertującą światło UV do niebieskiego;</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7"/>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Gwarantowany okres dostępności części zamiennych po</w:t>
            </w:r>
            <w:r w:rsidR="00D817ED">
              <w:rPr>
                <w:rFonts w:ascii="Arial Narrow" w:hAnsi="Arial Narrow" w:cs="Times New Roman"/>
              </w:rPr>
              <w:t xml:space="preserve"> upływie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450033">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4677"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Usł.</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2D05A8" w:rsidRPr="00AB0EC6" w:rsidTr="002D05A8">
        <w:tc>
          <w:tcPr>
            <w:tcW w:w="508" w:type="dxa"/>
            <w:vAlign w:val="center"/>
          </w:tcPr>
          <w:p w:rsidR="002D05A8" w:rsidRPr="00450033" w:rsidRDefault="002D05A8" w:rsidP="00BC2372">
            <w:pPr>
              <w:pStyle w:val="Akapitzlist"/>
              <w:numPr>
                <w:ilvl w:val="0"/>
                <w:numId w:val="39"/>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Pierwsze szkolenie niezwłocznie po instalacji w wymiarze min. 1 dzień roboczy – 6 rbh.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40"/>
              </w:numPr>
              <w:ind w:left="0" w:firstLine="0"/>
              <w:jc w:val="center"/>
              <w:rPr>
                <w:rFonts w:ascii="Arial Narrow" w:hAnsi="Arial Narrow" w:cs="Times New Roman"/>
              </w:rPr>
            </w:pPr>
          </w:p>
        </w:tc>
        <w:tc>
          <w:tcPr>
            <w:tcW w:w="4677"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 xml:space="preserve">Usł. </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DB69DA" w:rsidRPr="00AB0EC6" w:rsidTr="00450033">
        <w:tc>
          <w:tcPr>
            <w:tcW w:w="508" w:type="dxa"/>
            <w:vAlign w:val="center"/>
          </w:tcPr>
          <w:p w:rsidR="00DB69DA" w:rsidRPr="00450033" w:rsidRDefault="00DB69DA" w:rsidP="00BC2372">
            <w:pPr>
              <w:pStyle w:val="Akapitzlist"/>
              <w:numPr>
                <w:ilvl w:val="0"/>
                <w:numId w:val="40"/>
              </w:numPr>
              <w:ind w:left="0" w:firstLine="0"/>
              <w:jc w:val="center"/>
              <w:rPr>
                <w:rFonts w:ascii="Arial Narrow" w:hAnsi="Arial Narrow" w:cs="Times New Roman"/>
              </w:rPr>
            </w:pPr>
          </w:p>
        </w:tc>
        <w:tc>
          <w:tcPr>
            <w:tcW w:w="4677" w:type="dxa"/>
            <w:vAlign w:val="center"/>
          </w:tcPr>
          <w:p w:rsidR="00DB69DA" w:rsidRDefault="00DB69DA" w:rsidP="00A10B7C">
            <w:pPr>
              <w:jc w:val="both"/>
              <w:rPr>
                <w:rFonts w:ascii="Arial Narrow" w:hAnsi="Arial Narrow" w:cs="Times New Roman"/>
              </w:rPr>
            </w:pPr>
            <w:r>
              <w:rPr>
                <w:rFonts w:ascii="Arial Narrow" w:hAnsi="Arial Narrow" w:cs="Times New Roman"/>
              </w:rPr>
              <w:t>Instalacja i konfiguracja</w:t>
            </w:r>
            <w:r w:rsidR="00457D88">
              <w:rPr>
                <w:rFonts w:ascii="Arial Narrow" w:hAnsi="Arial Narrow" w:cs="Times New Roman"/>
              </w:rPr>
              <w:t>.</w:t>
            </w:r>
          </w:p>
        </w:tc>
        <w:tc>
          <w:tcPr>
            <w:tcW w:w="709"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Usł.</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p>
        </w:tc>
        <w:tc>
          <w:tcPr>
            <w:tcW w:w="1701" w:type="dxa"/>
            <w:vAlign w:val="center"/>
          </w:tcPr>
          <w:p w:rsidR="00DB69DA" w:rsidRPr="00AB0EC6" w:rsidRDefault="00DB69DA" w:rsidP="00A10B7C">
            <w:pPr>
              <w:jc w:val="center"/>
              <w:rPr>
                <w:rFonts w:ascii="Arial Narrow" w:hAnsi="Arial Narrow" w:cs="Times New Roman"/>
                <w:b/>
              </w:rPr>
            </w:pPr>
          </w:p>
        </w:tc>
        <w:tc>
          <w:tcPr>
            <w:tcW w:w="3545" w:type="dxa"/>
            <w:vAlign w:val="center"/>
          </w:tcPr>
          <w:p w:rsidR="00DB69DA" w:rsidRPr="00AB0EC6" w:rsidRDefault="00DB69DA" w:rsidP="00A10B7C">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0"/>
              </w:numPr>
              <w:ind w:left="0" w:firstLine="0"/>
              <w:jc w:val="center"/>
              <w:rPr>
                <w:rFonts w:ascii="Arial Narrow" w:hAnsi="Arial Narrow" w:cs="Times New Roman"/>
              </w:rPr>
            </w:pPr>
          </w:p>
        </w:tc>
        <w:tc>
          <w:tcPr>
            <w:tcW w:w="4677" w:type="dxa"/>
            <w:vAlign w:val="center"/>
          </w:tcPr>
          <w:p w:rsidR="00D817ED" w:rsidRDefault="00D817ED" w:rsidP="00F3610F">
            <w:pPr>
              <w:jc w:val="both"/>
              <w:rPr>
                <w:rFonts w:ascii="Arial Narrow" w:hAnsi="Arial Narrow" w:cs="Times New Roman"/>
              </w:rPr>
            </w:pPr>
            <w:r>
              <w:rPr>
                <w:rFonts w:ascii="Arial Narrow" w:hAnsi="Arial Narrow" w:cs="Times New Roman"/>
              </w:rPr>
              <w:t>Dokumenty:</w:t>
            </w:r>
            <w:r w:rsidR="00A76BE8">
              <w:rPr>
                <w:rFonts w:ascii="Arial Narrow" w:hAnsi="Arial Narrow" w:cs="Times New Roman"/>
              </w:rPr>
              <w:t xml:space="preserve"> instrukcja obsługi w języku polskim, deklaracja zgodności CE, zgłoszenie wyrobu medycznego do Prezesa Urzędu Rejestracji Produktów Leczniczych, Wyrobów Medycznych i Produktów Biobójczych lub powiadomienie </w:t>
            </w:r>
            <w:r w:rsidR="00F3610F">
              <w:rPr>
                <w:rFonts w:ascii="Arial Narrow" w:hAnsi="Arial Narrow" w:cs="Times New Roman"/>
              </w:rPr>
              <w:t xml:space="preserve">Prezesa Urzędu Rejestracji Produktów Leczniczych, Wyrobów Medycznych i Produktów Biobójczych o wprowadzeniu wyrobu medycznego do używania – </w:t>
            </w:r>
            <w:r w:rsidR="00A76BE8">
              <w:rPr>
                <w:rFonts w:ascii="Arial Narrow" w:hAnsi="Arial Narrow" w:cs="Times New Roman"/>
              </w:rPr>
              <w:t>jeżeli</w:t>
            </w:r>
            <w:r w:rsidR="00F3610F">
              <w:rPr>
                <w:rFonts w:ascii="Arial Narrow" w:hAnsi="Arial Narrow" w:cs="Times New Roman"/>
              </w:rPr>
              <w:t xml:space="preserve"> </w:t>
            </w:r>
            <w:r w:rsidR="00A76BE8">
              <w:rPr>
                <w:rFonts w:ascii="Arial Narrow" w:hAnsi="Arial Narrow" w:cs="Times New Roman"/>
              </w:rPr>
              <w:t>klasa wyrobu na to wskazuje</w:t>
            </w:r>
            <w:r w:rsidR="00F3610F">
              <w:rPr>
                <w:rFonts w:ascii="Arial Narrow" w:hAnsi="Arial Narrow" w:cs="Times New Roman"/>
              </w:rPr>
              <w:t>,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A10B7C">
            <w:pPr>
              <w:jc w:val="center"/>
              <w:rPr>
                <w:rFonts w:ascii="Arial Narrow" w:hAnsi="Arial Narrow" w:cs="Times New Roman"/>
                <w:b/>
              </w:rPr>
            </w:pPr>
          </w:p>
        </w:tc>
      </w:tr>
      <w:tr w:rsidR="00DA2367" w:rsidRPr="00AB0EC6" w:rsidTr="00450033">
        <w:tc>
          <w:tcPr>
            <w:tcW w:w="8304"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851"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701" w:type="dxa"/>
            <w:vAlign w:val="center"/>
          </w:tcPr>
          <w:p w:rsidR="00DA2367" w:rsidRPr="00AB0EC6" w:rsidRDefault="00DA2367" w:rsidP="005607A0">
            <w:pPr>
              <w:jc w:val="center"/>
              <w:rPr>
                <w:rFonts w:ascii="Arial Narrow" w:hAnsi="Arial Narrow" w:cs="Times New Roman"/>
                <w:b/>
              </w:rPr>
            </w:pPr>
          </w:p>
        </w:tc>
        <w:tc>
          <w:tcPr>
            <w:tcW w:w="3545"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E8387E"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F3610F" w:rsidRDefault="00F3610F" w:rsidP="00E94EFC">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2 – System do multiplekso</w:t>
      </w:r>
      <w:r w:rsidR="002D05A8">
        <w:rPr>
          <w:rFonts w:ascii="Arial Narrow" w:hAnsi="Arial Narrow" w:cs="Times New Roman"/>
          <w:b/>
        </w:rPr>
        <w:t>wej analizy kwasów nukleinowych</w:t>
      </w:r>
      <w:r w:rsidRPr="004204D4">
        <w:rPr>
          <w:rFonts w:ascii="Arial Narrow" w:hAnsi="Arial Narrow" w:cs="Times New Roman"/>
          <w:b/>
        </w:rPr>
        <w:t xml:space="preserve"> i białek wraz z oprzyrządowaniem i oprogramowaniem.</w:t>
      </w:r>
    </w:p>
    <w:p w:rsidR="002D05A8" w:rsidRDefault="002D05A8" w:rsidP="00CC4194">
      <w:pPr>
        <w:pStyle w:val="Bezodstpw"/>
        <w:ind w:left="1843" w:hanging="1559"/>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D817ED">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D817ED">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lastRenderedPageBreak/>
              <w:t>1.</w:t>
            </w:r>
          </w:p>
        </w:tc>
        <w:tc>
          <w:tcPr>
            <w:tcW w:w="4677" w:type="dxa"/>
            <w:vAlign w:val="center"/>
          </w:tcPr>
          <w:p w:rsidR="002D05A8" w:rsidRPr="00DB69DA" w:rsidRDefault="002D05A8" w:rsidP="002D05A8">
            <w:pPr>
              <w:jc w:val="both"/>
              <w:rPr>
                <w:rFonts w:ascii="Arial Narrow" w:hAnsi="Arial Narrow" w:cs="Times New Roman"/>
                <w:b/>
              </w:rPr>
            </w:pPr>
            <w:r>
              <w:rPr>
                <w:rFonts w:ascii="Arial Narrow" w:hAnsi="Arial Narrow" w:cs="Times New Roman"/>
                <w:b/>
              </w:rPr>
              <w:t>System do multipleksowej analizy kwasów nukleinowych i białek wraz z oprzyrządowaniem i oprogramowaniem</w:t>
            </w:r>
            <w:r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Pr="00AB0EC6" w:rsidRDefault="002D05A8" w:rsidP="001D7C38">
            <w:pPr>
              <w:jc w:val="both"/>
              <w:rPr>
                <w:rFonts w:ascii="Arial Narrow" w:hAnsi="Arial Narrow" w:cs="Times New Roman"/>
              </w:rPr>
            </w:pPr>
            <w:r>
              <w:rPr>
                <w:rFonts w:ascii="Arial Narrow" w:hAnsi="Arial Narrow" w:cs="Times New Roman"/>
              </w:rPr>
              <w:t>A</w:t>
            </w:r>
            <w:r w:rsidR="001D7C38">
              <w:rPr>
                <w:rFonts w:ascii="Arial Narrow" w:hAnsi="Arial Narrow" w:cs="Times New Roman"/>
              </w:rPr>
              <w:t xml:space="preserve">utomatyczny podajnik </w:t>
            </w:r>
            <w:r>
              <w:rPr>
                <w:rFonts w:ascii="Arial Narrow" w:hAnsi="Arial Narrow" w:cs="Times New Roman"/>
              </w:rPr>
              <w:t>mikropłytek</w:t>
            </w:r>
            <w:r w:rsidR="001D7C38">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1D7C38">
            <w:pPr>
              <w:jc w:val="both"/>
              <w:rPr>
                <w:rFonts w:ascii="Arial Narrow" w:hAnsi="Arial Narrow" w:cs="Times New Roman"/>
              </w:rPr>
            </w:pPr>
            <w:r>
              <w:rPr>
                <w:rFonts w:ascii="Arial Narrow" w:hAnsi="Arial Narrow" w:cs="Times New Roman"/>
              </w:rPr>
              <w:t>Pompa z automatycznym dozowaniem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Praca w ruchu ciągłym;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1D7C38" w:rsidRDefault="001D7C38" w:rsidP="001D7C38">
            <w:pPr>
              <w:jc w:val="both"/>
              <w:rPr>
                <w:rFonts w:ascii="Arial Narrow" w:hAnsi="Arial Narrow" w:cs="Times New Roman"/>
              </w:rPr>
            </w:pPr>
            <w:r>
              <w:rPr>
                <w:rFonts w:ascii="Arial Narrow" w:hAnsi="Arial Narrow" w:cs="Times New Roman"/>
              </w:rPr>
              <w:t>Układ optyczny analizatora wyposażony w dwa promienie lasera: Reporterowy – długość fali 532 nm; moc znamionowa: 10-15 mW; moc maksymalna 500mW; tryb pracy fali ciągłej (CW);</w:t>
            </w:r>
          </w:p>
          <w:p w:rsidR="001D7C38" w:rsidRDefault="001D7C38" w:rsidP="001D7C38">
            <w:pPr>
              <w:jc w:val="both"/>
              <w:rPr>
                <w:rFonts w:ascii="Arial Narrow" w:hAnsi="Arial Narrow" w:cs="Times New Roman"/>
              </w:rPr>
            </w:pPr>
            <w:r>
              <w:rPr>
                <w:rFonts w:ascii="Arial Narrow" w:hAnsi="Arial Narrow" w:cs="Times New Roman"/>
              </w:rPr>
              <w:t xml:space="preserve">Klasyfikacyjny – długość fali 635 nm; moc znamionowa 9,1 mW (+/- 6%), moc maksymalna 25 mW, tryb pracy fali ciągłej (CW);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Objętość próbki +/- 5%</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Klasyfikacja mikrosfer &gt;80%</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Temperatura pracy 15-30°C</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Automatyczna regulacja przepływu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Przepływ 90 +/- 5ul/s;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Szybkość podawania próbki 1 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Objętość próbki 20 – 200 ul;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5F1DDE">
            <w:pPr>
              <w:jc w:val="both"/>
              <w:rPr>
                <w:rFonts w:ascii="Arial Narrow" w:hAnsi="Arial Narrow" w:cs="Times New Roman"/>
              </w:rPr>
            </w:pPr>
            <w:r>
              <w:rPr>
                <w:rFonts w:ascii="Arial Narrow" w:hAnsi="Arial Narrow" w:cs="Times New Roman"/>
              </w:rPr>
              <w:t>Możliwość analizy płytek 96 studzienkowych;</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2D05A8" w:rsidP="005F1DDE">
            <w:pPr>
              <w:jc w:val="both"/>
              <w:rPr>
                <w:rFonts w:ascii="Arial Narrow" w:hAnsi="Arial Narrow" w:cs="Times New Roman"/>
              </w:rPr>
            </w:pPr>
            <w:r>
              <w:rPr>
                <w:rFonts w:ascii="Arial Narrow" w:hAnsi="Arial Narrow" w:cs="Times New Roman"/>
              </w:rPr>
              <w:t xml:space="preserve">Możliwość </w:t>
            </w:r>
            <w:r w:rsidR="005F1DDE">
              <w:rPr>
                <w:rFonts w:ascii="Arial Narrow" w:hAnsi="Arial Narrow" w:cs="Times New Roman"/>
              </w:rPr>
              <w:t>analizy wielu szablonów testowych na płytce, zapewniająca różnorodność stosowanych paneli testów immunologicznych, w tym testy multikompleksowe;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Automatyczne pobieranie próbki z 96 studzienkowej płytki;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odróżniania od 1 do 100 zestawów mikrosfer;</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odczynników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materiałów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oprogramowania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Komputer wraz z dedykowanym oprogramowaniem do sterowania pracą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Drukarka monochromatyczna;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Monitor LCD o przekątnej 17’’;</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Dodatkowe wyposażenie niezbędne do właściwej pracy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1"/>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w:t>
            </w:r>
            <w:r w:rsidR="00D817ED">
              <w:rPr>
                <w:rFonts w:ascii="Arial Narrow" w:hAnsi="Arial Narrow" w:cs="Times New Roman"/>
              </w:rPr>
              <w:t xml:space="preserv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Pierwsze szkolenie niezwłocznie po instalacji w wymiarze min. 1 dzień roboczy – 6 rbh.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 xml:space="preserve">Usł.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6"/>
              </w:numPr>
              <w:ind w:left="0" w:firstLine="0"/>
              <w:jc w:val="center"/>
              <w:rPr>
                <w:rFonts w:ascii="Arial Narrow" w:hAnsi="Arial Narrow" w:cs="Times New Roman"/>
              </w:rPr>
            </w:pPr>
          </w:p>
        </w:tc>
        <w:tc>
          <w:tcPr>
            <w:tcW w:w="4677" w:type="dxa"/>
            <w:vAlign w:val="center"/>
          </w:tcPr>
          <w:p w:rsidR="00D817ED" w:rsidRDefault="00F3610F" w:rsidP="002D05A8">
            <w:pPr>
              <w:jc w:val="both"/>
              <w:rPr>
                <w:rFonts w:ascii="Arial Narrow" w:hAnsi="Arial Narrow" w:cs="Times New Roman"/>
              </w:rPr>
            </w:pPr>
            <w:r>
              <w:rPr>
                <w:rFonts w:ascii="Arial Narrow" w:hAnsi="Arial Narrow" w:cs="Times New Roman"/>
              </w:rPr>
              <w:t>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Medycznych i Produktów Biobójczych o wprowadzeniu wyrobu medycznego do używania – jeżeli klasa wyrobu na to wskazuje,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2D05A8">
            <w:pPr>
              <w:jc w:val="center"/>
              <w:rPr>
                <w:rFonts w:ascii="Arial Narrow" w:hAnsi="Arial Narrow" w:cs="Times New Roman"/>
                <w:b/>
              </w:rPr>
            </w:pPr>
          </w:p>
        </w:tc>
      </w:tr>
      <w:tr w:rsidR="002D05A8" w:rsidRPr="00AB0EC6" w:rsidTr="00D817ED">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05A8" w:rsidP="002D05A8">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lastRenderedPageBreak/>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CC4194"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E376C5">
        <w:rPr>
          <w:rFonts w:ascii="Arial Narrow" w:hAnsi="Arial Narrow" w:cs="Times New Roman"/>
        </w:rPr>
        <w:t xml:space="preserve">    /podpis osoby upoważnionej/</w:t>
      </w: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3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(termocykler) o następujących paramerach:</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Ramping temperatury – 3,50°C/sek;</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Mikropocesorowe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lastRenderedPageBreak/>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Pierwsze szkolenie niezwłocznie po instalacji w wymiarze min. 1 dzień roboczy – 6 rbh.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 xml:space="preserve">Usł.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Pr>
          <w:rFonts w:ascii="Arial Narrow" w:hAnsi="Arial Narrow" w:cs="Times New Roman"/>
          <w:b/>
        </w:rPr>
        <w:t xml:space="preserve"> możliwość dostępu do internetu.</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Mobilne urządzenie umożliwiające prowadzenie rozmów telefonicznych oraz posiadające możliwość dostępu do internetu</w:t>
            </w:r>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Procesor: minimum dwurdzeniowy procesor z obsługą instrukcji 64 bit, własny układ graficzny oraz funkcje wykonywania wielu zadań jednocześnie (technologia hyperthreading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Karta graficzna: kompatybilna z Microsoft</w:t>
            </w:r>
            <w:r w:rsidR="00315738">
              <w:rPr>
                <w:rFonts w:ascii="Arial Narrow" w:hAnsi="Arial Narrow" w:cs="Times New Roman"/>
              </w:rPr>
              <w:t>®DirectX 11.1, OpenCL 1.2, Open GL 4.0, uzyskująca wynika co najmniej 700 punktów w teście Passmark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Dysk twardy: min. 1TB, prędkość obrotowa 5400 obr/min.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Łączność: Bluetooth 4.0, WiFi w standardzie 802.11 a/b/g/n/ac;</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Porty/złącza: USB, HDMI, displayport,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Kamera: zintegrowana 1.3 Mpx;</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Wskaźnik: TouchPad;</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r>
              <w:rPr>
                <w:rFonts w:ascii="Arial Narrow" w:hAnsi="Arial Narrow" w:cs="Times New Roman"/>
              </w:rPr>
              <w:t>Klawiatura:Qwerty;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 xml:space="preserve">Usł.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CC4194" w:rsidRPr="00AB0EC6" w:rsidRDefault="00CC4194" w:rsidP="00CC4194">
      <w:pPr>
        <w:ind w:left="142"/>
        <w:jc w:val="both"/>
        <w:rPr>
          <w:rFonts w:ascii="Arial Narrow" w:hAnsi="Arial Narrow" w:cs="Times New Roman"/>
        </w:rPr>
      </w:pPr>
      <w:r>
        <w:rPr>
          <w:rFonts w:ascii="Arial Narrow" w:hAnsi="Arial Narrow" w:cs="Times New Roman"/>
          <w:b/>
        </w:rPr>
        <w:lastRenderedPageBreak/>
        <w:t xml:space="preserve">Zadanie nr 5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Automatyczne odszra</w:t>
            </w:r>
            <w:bookmarkStart w:id="0" w:name="_GoBack"/>
            <w:bookmarkEnd w:id="0"/>
            <w:r>
              <w:rPr>
                <w:rFonts w:ascii="Arial Narrow" w:hAnsi="Arial Narrow" w:cs="Times New Roman"/>
              </w:rPr>
              <w:t>nianie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Manualne odszranianie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chłodziarki od +3°C do +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Cyfrowy wyświetlacz temperatury;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Alarm temperaturowy;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Zamek drzwiowy;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Obudowa w kolorze białym.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 xml:space="preserve">Usł.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Usł.</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856917" w:rsidRPr="00AB0EC6" w:rsidRDefault="00392EA2" w:rsidP="000D55DB">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6B" w:rsidRDefault="0057356B" w:rsidP="009A7753">
      <w:pPr>
        <w:spacing w:after="0" w:line="240" w:lineRule="auto"/>
      </w:pPr>
      <w:r>
        <w:separator/>
      </w:r>
    </w:p>
  </w:endnote>
  <w:endnote w:type="continuationSeparator" w:id="0">
    <w:p w:rsidR="0057356B" w:rsidRDefault="005735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80323F" w:rsidRDefault="0080323F"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57356B" w:rsidRPr="0019537E" w:rsidRDefault="0057356B">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85431" w:rsidRPr="00F85431">
          <w:rPr>
            <w:rFonts w:eastAsiaTheme="majorEastAsia" w:cstheme="majorBidi"/>
            <w:noProof/>
            <w:sz w:val="16"/>
            <w:szCs w:val="16"/>
          </w:rPr>
          <w:t>32</w:t>
        </w:r>
        <w:r w:rsidRPr="0019537E">
          <w:rPr>
            <w:rFonts w:eastAsiaTheme="majorEastAsia" w:cstheme="majorBidi"/>
            <w:sz w:val="16"/>
            <w:szCs w:val="16"/>
          </w:rPr>
          <w:fldChar w:fldCharType="end"/>
        </w:r>
      </w:p>
    </w:sdtContent>
  </w:sdt>
  <w:p w:rsidR="0057356B" w:rsidRPr="0019537E" w:rsidRDefault="0057356B" w:rsidP="0019537E">
    <w:pPr>
      <w:pStyle w:val="Stopka"/>
      <w:tabs>
        <w:tab w:val="clear" w:pos="4536"/>
        <w:tab w:val="clear" w:pos="9072"/>
        <w:tab w:val="left" w:pos="1050"/>
      </w:tabs>
      <w:rPr>
        <w:rFonts w:cs="Times New Roman"/>
        <w:sz w:val="20"/>
        <w:szCs w:val="20"/>
      </w:rPr>
    </w:pPr>
    <w:r>
      <w:rPr>
        <w:rFonts w:cs="Times New Roman"/>
        <w:sz w:val="20"/>
        <w:szCs w:val="20"/>
      </w:rPr>
      <w:t>EZP-271-2-99/2017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6B" w:rsidRDefault="0057356B" w:rsidP="009A7753">
      <w:pPr>
        <w:spacing w:after="0" w:line="240" w:lineRule="auto"/>
      </w:pPr>
      <w:r>
        <w:separator/>
      </w:r>
    </w:p>
  </w:footnote>
  <w:footnote w:type="continuationSeparator" w:id="0">
    <w:p w:rsidR="0057356B" w:rsidRDefault="005735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6B" w:rsidRDefault="0080323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1"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5"/>
  </w:num>
  <w:num w:numId="3">
    <w:abstractNumId w:val="57"/>
  </w:num>
  <w:num w:numId="4">
    <w:abstractNumId w:val="14"/>
  </w:num>
  <w:num w:numId="5">
    <w:abstractNumId w:val="20"/>
  </w:num>
  <w:num w:numId="6">
    <w:abstractNumId w:val="24"/>
  </w:num>
  <w:num w:numId="7">
    <w:abstractNumId w:val="18"/>
  </w:num>
  <w:num w:numId="8">
    <w:abstractNumId w:val="8"/>
  </w:num>
  <w:num w:numId="9">
    <w:abstractNumId w:val="27"/>
  </w:num>
  <w:num w:numId="10">
    <w:abstractNumId w:val="39"/>
  </w:num>
  <w:num w:numId="11">
    <w:abstractNumId w:val="61"/>
  </w:num>
  <w:num w:numId="12">
    <w:abstractNumId w:val="28"/>
  </w:num>
  <w:num w:numId="13">
    <w:abstractNumId w:val="19"/>
  </w:num>
  <w:num w:numId="14">
    <w:abstractNumId w:val="4"/>
  </w:num>
  <w:num w:numId="15">
    <w:abstractNumId w:val="50"/>
  </w:num>
  <w:num w:numId="16">
    <w:abstractNumId w:val="6"/>
  </w:num>
  <w:num w:numId="17">
    <w:abstractNumId w:val="30"/>
  </w:num>
  <w:num w:numId="18">
    <w:abstractNumId w:val="48"/>
  </w:num>
  <w:num w:numId="19">
    <w:abstractNumId w:val="37"/>
  </w:num>
  <w:num w:numId="20">
    <w:abstractNumId w:val="53"/>
  </w:num>
  <w:num w:numId="21">
    <w:abstractNumId w:val="13"/>
  </w:num>
  <w:num w:numId="22">
    <w:abstractNumId w:val="42"/>
  </w:num>
  <w:num w:numId="23">
    <w:abstractNumId w:val="36"/>
  </w:num>
  <w:num w:numId="24">
    <w:abstractNumId w:val="35"/>
  </w:num>
  <w:num w:numId="25">
    <w:abstractNumId w:val="21"/>
  </w:num>
  <w:num w:numId="26">
    <w:abstractNumId w:val="16"/>
  </w:num>
  <w:num w:numId="27">
    <w:abstractNumId w:val="10"/>
  </w:num>
  <w:num w:numId="28">
    <w:abstractNumId w:val="33"/>
  </w:num>
  <w:num w:numId="29">
    <w:abstractNumId w:val="15"/>
  </w:num>
  <w:num w:numId="30">
    <w:abstractNumId w:val="32"/>
  </w:num>
  <w:num w:numId="31">
    <w:abstractNumId w:val="23"/>
  </w:num>
  <w:num w:numId="32">
    <w:abstractNumId w:val="40"/>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25"/>
  </w:num>
  <w:num w:numId="36">
    <w:abstractNumId w:val="54"/>
  </w:num>
  <w:num w:numId="37">
    <w:abstractNumId w:val="12"/>
  </w:num>
  <w:num w:numId="38">
    <w:abstractNumId w:val="49"/>
  </w:num>
  <w:num w:numId="39">
    <w:abstractNumId w:val="60"/>
  </w:num>
  <w:num w:numId="40">
    <w:abstractNumId w:val="43"/>
  </w:num>
  <w:num w:numId="41">
    <w:abstractNumId w:val="34"/>
  </w:num>
  <w:num w:numId="42">
    <w:abstractNumId w:val="56"/>
  </w:num>
  <w:num w:numId="43">
    <w:abstractNumId w:val="59"/>
  </w:num>
  <w:num w:numId="44">
    <w:abstractNumId w:val="3"/>
  </w:num>
  <w:num w:numId="45">
    <w:abstractNumId w:val="9"/>
  </w:num>
  <w:num w:numId="46">
    <w:abstractNumId w:val="11"/>
  </w:num>
  <w:num w:numId="47">
    <w:abstractNumId w:val="22"/>
  </w:num>
  <w:num w:numId="48">
    <w:abstractNumId w:val="46"/>
  </w:num>
  <w:num w:numId="49">
    <w:abstractNumId w:val="38"/>
  </w:num>
  <w:num w:numId="50">
    <w:abstractNumId w:val="51"/>
  </w:num>
  <w:num w:numId="51">
    <w:abstractNumId w:val="45"/>
  </w:num>
  <w:num w:numId="52">
    <w:abstractNumId w:val="31"/>
  </w:num>
  <w:num w:numId="53">
    <w:abstractNumId w:val="47"/>
  </w:num>
  <w:num w:numId="54">
    <w:abstractNumId w:val="29"/>
  </w:num>
  <w:num w:numId="55">
    <w:abstractNumId w:val="26"/>
  </w:num>
  <w:num w:numId="56">
    <w:abstractNumId w:val="2"/>
  </w:num>
  <w:num w:numId="57">
    <w:abstractNumId w:val="5"/>
  </w:num>
  <w:num w:numId="58">
    <w:abstractNumId w:val="44"/>
  </w:num>
  <w:num w:numId="59">
    <w:abstractNumId w:val="5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6077"/>
    <w:rsid w:val="00281DD7"/>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4A79"/>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431"/>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A737-A6E4-4825-A8A7-7370828C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9580</Words>
  <Characters>57480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2017-09-04T09:55:00Z</cp:lastPrinted>
  <dcterms:created xsi:type="dcterms:W3CDTF">2017-09-05T09:08:00Z</dcterms:created>
  <dcterms:modified xsi:type="dcterms:W3CDTF">2017-09-05T09:08:00Z</dcterms:modified>
</cp:coreProperties>
</file>