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8" w:rsidRPr="00530CAC" w:rsidRDefault="00241B88" w:rsidP="00241B88">
      <w:pPr>
        <w:jc w:val="right"/>
        <w:rPr>
          <w:rFonts w:ascii="Arial Narrow" w:hAnsi="Arial Narrow" w:cs="Times New Roman"/>
          <w:sz w:val="18"/>
          <w:szCs w:val="18"/>
        </w:rPr>
      </w:pPr>
      <w:r w:rsidRPr="00530CAC">
        <w:rPr>
          <w:rFonts w:ascii="Arial Narrow" w:hAnsi="Arial Narrow" w:cs="Times New Roman"/>
          <w:sz w:val="18"/>
          <w:szCs w:val="18"/>
        </w:rPr>
        <w:t xml:space="preserve">Załącznik nr 3 do SIWZ </w:t>
      </w:r>
    </w:p>
    <w:p w:rsidR="00241B88" w:rsidRPr="00530CAC" w:rsidRDefault="00241B88" w:rsidP="00241B88">
      <w:pPr>
        <w:jc w:val="center"/>
        <w:rPr>
          <w:rFonts w:ascii="Arial Narrow" w:hAnsi="Arial Narrow" w:cs="Times New Roman"/>
          <w:b/>
          <w:sz w:val="18"/>
          <w:szCs w:val="18"/>
        </w:rPr>
      </w:pPr>
      <w:r w:rsidRPr="00530CAC">
        <w:rPr>
          <w:rFonts w:ascii="Arial Narrow" w:hAnsi="Arial Narrow" w:cs="Times New Roman"/>
          <w:b/>
          <w:sz w:val="18"/>
          <w:szCs w:val="18"/>
        </w:rPr>
        <w:t>KALKULACA CENOWA – OPIS PRZEDMIOTU ZAMOWIENIA</w:t>
      </w:r>
    </w:p>
    <w:p w:rsidR="00241B88" w:rsidRPr="00530CAC" w:rsidRDefault="00241B88" w:rsidP="00241B88">
      <w:pPr>
        <w:spacing w:after="0"/>
        <w:ind w:firstLine="284"/>
        <w:rPr>
          <w:rFonts w:ascii="Arial Narrow" w:hAnsi="Arial Narrow" w:cs="Times New Roman"/>
          <w:sz w:val="18"/>
          <w:szCs w:val="18"/>
        </w:rPr>
      </w:pPr>
    </w:p>
    <w:p w:rsidR="00241B88" w:rsidRPr="00530CAC" w:rsidRDefault="00241B88" w:rsidP="00241B88">
      <w:pPr>
        <w:pStyle w:val="StandardowyStandardowy1"/>
        <w:spacing w:line="276" w:lineRule="auto"/>
        <w:rPr>
          <w:rFonts w:ascii="Arial Narrow" w:hAnsi="Arial Narrow" w:cs="Arial"/>
          <w:sz w:val="18"/>
          <w:szCs w:val="18"/>
        </w:rPr>
      </w:pPr>
      <w:r w:rsidRPr="00530CAC">
        <w:rPr>
          <w:rFonts w:ascii="Arial Narrow" w:hAnsi="Arial Narrow" w:cs="Arial"/>
          <w:sz w:val="18"/>
          <w:szCs w:val="18"/>
        </w:rPr>
        <w:t>ZAMAWIAJĄCY: Uniwersytecki Szpital Dziecięcy w Krakowie, ul. Wielicka 265, 30-663 Kraków</w:t>
      </w:r>
    </w:p>
    <w:p w:rsidR="00241B88" w:rsidRPr="00530CAC" w:rsidRDefault="00241B88" w:rsidP="00241B88">
      <w:pPr>
        <w:spacing w:line="276" w:lineRule="auto"/>
        <w:rPr>
          <w:rFonts w:ascii="Calibri" w:hAnsi="Calibri" w:cs="Arial"/>
          <w:sz w:val="18"/>
          <w:szCs w:val="18"/>
        </w:rPr>
      </w:pPr>
      <w:r w:rsidRPr="00530CAC">
        <w:rPr>
          <w:rFonts w:ascii="Arial Narrow" w:hAnsi="Arial Narrow" w:cs="Arial"/>
          <w:sz w:val="18"/>
          <w:szCs w:val="18"/>
        </w:rPr>
        <w:t>Nazwa i adres Wykonawcy:.........................................................................................................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92"/>
        <w:tblW w:w="13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959"/>
        <w:gridCol w:w="850"/>
        <w:gridCol w:w="1140"/>
        <w:gridCol w:w="1275"/>
        <w:gridCol w:w="1838"/>
        <w:gridCol w:w="997"/>
        <w:gridCol w:w="1554"/>
        <w:gridCol w:w="1559"/>
      </w:tblGrid>
      <w:tr w:rsidR="00241B88" w:rsidRPr="00982A01" w:rsidTr="007602F8">
        <w:trPr>
          <w:cantSplit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ind w:left="-56" w:hanging="90"/>
              <w:jc w:val="center"/>
              <w:rPr>
                <w:rFonts w:ascii="Arial Narrow" w:hAnsi="Arial Narrow"/>
              </w:rPr>
            </w:pPr>
            <w:proofErr w:type="spellStart"/>
            <w:r w:rsidRPr="00982A01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 xml:space="preserve">Opis  przedmiotu zamówienia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handlowa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 xml:space="preserve">Cena jedn. netto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Wartość netto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Wartość VAT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Producent</w:t>
            </w:r>
          </w:p>
        </w:tc>
      </w:tr>
      <w:tr w:rsidR="00241B88" w:rsidRPr="00982A01" w:rsidTr="007602F8">
        <w:trPr>
          <w:cantSplit/>
          <w:trHeight w:val="299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b/>
                <w:sz w:val="20"/>
                <w:szCs w:val="20"/>
              </w:rPr>
              <w:t xml:space="preserve">Jednorazowy zestaw do pobierania i usuwania – 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kompatybilny z wersją oprogramowania SW 11.2 separatora Spectra 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 ( dzięki zintegrowanemu pojemnikowi na osocze możliwość poboru osocza podczas procedury CMNC); dostępne </w:t>
            </w:r>
            <w:r>
              <w:rPr>
                <w:rFonts w:ascii="Arial Narrow" w:hAnsi="Arial Narrow"/>
                <w:sz w:val="20"/>
                <w:szCs w:val="20"/>
              </w:rPr>
              <w:t xml:space="preserve">procedury: </w:t>
            </w:r>
            <w:r w:rsidRPr="00CE052A">
              <w:rPr>
                <w:rFonts w:ascii="Arial Narrow" w:hAnsi="Arial Narrow"/>
                <w:sz w:val="20"/>
                <w:szCs w:val="20"/>
              </w:rPr>
              <w:t>Procedura Ciągłego Poboru Komórek Macierzystych ( CMNC ), Pobieranie granulocytów (PMN), usuwanie leukocytów  (WBCD), usuwanie płytek (PLTD), czyszczenie szpiku(BMP) (wymaga dodatkowego zestawu drenów do procedury(BMP); zawiera bezpieczny łącznik 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A127DA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b/>
                <w:sz w:val="20"/>
                <w:szCs w:val="20"/>
              </w:rPr>
              <w:t xml:space="preserve">Jednorazowy dodatkowy zestaw drenów i pojemników do procedury czyszczenia szpiku BMP </w:t>
            </w:r>
            <w:r w:rsidRPr="00CE052A">
              <w:rPr>
                <w:rFonts w:ascii="Arial Narrow" w:hAnsi="Arial Narrow"/>
                <w:sz w:val="20"/>
                <w:szCs w:val="20"/>
              </w:rPr>
              <w:t>zawierający m.in.: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pojemnik do czyszczenia szpiku o pojemności nie mniejszej niż 3000 ml;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opcjonalny pojemnik do pobierania osocza o pojemności nie mniejszej niż 1000 ml z zaciskiem linii do pojemnika;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linia transferowa szpiku z komorami kroplowymi i zaciskami oraz z filtrem  ( 200 mikronowym );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 xml:space="preserve">- dodatkowy zestaw złącz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Luer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do transferu szpiku z pojemników transferowych do zestawu akcesorycznego;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linia napływu;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linia zwrotu;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zestaw pojemnika na próbki z zaciskami linii do pojemnika na próbkę;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lastRenderedPageBreak/>
              <w:t xml:space="preserve">- kompatybilny z zestawami do separatora Spectra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A127DA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Jednorazowy zestaw</w:t>
            </w:r>
            <w:r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 pobierania kompatybilny z wersją oprogramowania SW 11.2 separatora Spectra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( dodatkowa możliwość poboru osocza </w:t>
            </w:r>
            <w:r>
              <w:rPr>
                <w:rFonts w:ascii="Arial Narrow" w:hAnsi="Arial Narrow"/>
                <w:sz w:val="20"/>
                <w:szCs w:val="20"/>
              </w:rPr>
              <w:t xml:space="preserve">do pojemnika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kolekcyjnego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oraz dokonania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transferuosocza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zdeponowanego w pojemniku osocza do pojemnika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kolekcyjnego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w sposób zamknięty); dostępne procedury: pobór komórek macierzystych ( MNC); zawiera bezpieczny łącznik AC,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 xml:space="preserve">Przeciwzakrzepowy roztwór cytrynianu dekstrozy  A ( ACDA), flakon 750 ml, do wykorzystania podczas procedur przeprowadzanych na separatorze komórkowym: Płyn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antykolugacyjny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ACD-A 750 ml, zawiera bezpieczny łącznik AC, wyrób medyczny klasy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A127DA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Przeciwzakrzepowy roztwór cytrynianu dekstrozy  A ( ACDA), flakon 500 ml, do wykorzystania podczas procedur przeprowadzanych na separatorze komórkowy</w:t>
            </w:r>
            <w:r>
              <w:rPr>
                <w:rFonts w:ascii="Arial Narrow" w:hAnsi="Arial Narrow"/>
                <w:sz w:val="20"/>
                <w:szCs w:val="20"/>
              </w:rPr>
              <w:t xml:space="preserve">m: Płyn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antykolugacyjny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ACD-A 50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0 ml, zawiera bezpieczny łącznik AC, wyrób medyczny klasy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 xml:space="preserve">Adapter do podłączania antykoagulantu; Do podłączenia pomiędzy nowym rodzajem zestawu Spectra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zawierającym bezpieczny łącznik AC, a pojemnikiem AC starego typu ( bez bezpiecznego łącznika AC, zawierającego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zakłuwacz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);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gridAfter w:val="1"/>
          <w:wAfter w:w="1559" w:type="dxa"/>
          <w:cantSplit/>
          <w:trHeight w:val="56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  <w:b/>
              </w:rPr>
            </w:pPr>
            <w:r w:rsidRPr="00982A01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82A01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241B88" w:rsidRDefault="00241B88" w:rsidP="00241B88">
      <w:pPr>
        <w:tabs>
          <w:tab w:val="left" w:pos="13449"/>
        </w:tabs>
        <w:spacing w:line="276" w:lineRule="auto"/>
        <w:rPr>
          <w:rFonts w:ascii="Calibri" w:hAnsi="Calibri"/>
          <w:sz w:val="16"/>
          <w:szCs w:val="16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82A01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982A01">
        <w:rPr>
          <w:rFonts w:ascii="Arial Narrow" w:hAnsi="Arial Narrow"/>
          <w:sz w:val="20"/>
          <w:szCs w:val="20"/>
        </w:rPr>
        <w:t xml:space="preserve"> </w:t>
      </w: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</w:t>
      </w:r>
    </w:p>
    <w:p w:rsidR="00241B88" w:rsidRPr="00982A01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  <w:sectPr w:rsidR="00241B88" w:rsidRPr="00982A01" w:rsidSect="00FA6469">
          <w:headerReference w:type="first" r:id="rId4"/>
          <w:footerReference w:type="first" r:id="rId5"/>
          <w:footnotePr>
            <w:pos w:val="beneathText"/>
          </w:footnotePr>
          <w:pgSz w:w="16837" w:h="11905" w:orient="landscape"/>
          <w:pgMar w:top="426" w:right="709" w:bottom="709" w:left="709" w:header="709" w:footer="709" w:gutter="0"/>
          <w:cols w:space="708"/>
          <w:titlePg/>
          <w:docGrid w:linePitch="360"/>
        </w:sectPr>
      </w:pPr>
      <w:r w:rsidRPr="00982A0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(miejscowość, data)</w:t>
      </w:r>
      <w:r w:rsidRPr="00982A0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(podpis Wykonawcy)</w:t>
      </w:r>
      <w:r>
        <w:rPr>
          <w:rFonts w:ascii="Arial Narrow" w:hAnsi="Arial Narrow"/>
          <w:sz w:val="20"/>
          <w:szCs w:val="20"/>
        </w:rPr>
        <w:t xml:space="preserve">      </w:t>
      </w:r>
    </w:p>
    <w:p w:rsidR="006C63EE" w:rsidRDefault="006C63EE" w:rsidP="00A127DA">
      <w:bookmarkStart w:id="0" w:name="_GoBack"/>
      <w:bookmarkEnd w:id="0"/>
    </w:p>
    <w:sectPr w:rsidR="006C63EE" w:rsidSect="00241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-934675751"/>
      <w:docPartObj>
        <w:docPartGallery w:val="Page Numbers (Bottom of Page)"/>
        <w:docPartUnique/>
      </w:docPartObj>
    </w:sdtPr>
    <w:sdtEndPr/>
    <w:sdtContent>
      <w:p w:rsidR="00CE052A" w:rsidRPr="00982A01" w:rsidRDefault="00A127DA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982A01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982A01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982A01">
          <w:rPr>
            <w:rFonts w:ascii="Arial Narrow" w:hAnsi="Arial Narrow"/>
            <w:sz w:val="16"/>
            <w:szCs w:val="16"/>
          </w:rPr>
          <w:instrText>PAGE    \* MERGEFORMAT</w:instrText>
        </w:r>
        <w:r w:rsidRPr="00982A01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A127DA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982A01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CE052A" w:rsidRPr="00EB42DC" w:rsidRDefault="00A127DA" w:rsidP="00EB42DC">
    <w:pPr>
      <w:pStyle w:val="Stopka"/>
      <w:rPr>
        <w:rFonts w:ascii="Arial Narrow" w:hAnsi="Arial Narrow"/>
        <w:sz w:val="16"/>
        <w:szCs w:val="16"/>
      </w:rPr>
    </w:pPr>
    <w:r w:rsidRPr="00EB42DC">
      <w:rPr>
        <w:rFonts w:ascii="Arial Narrow" w:hAnsi="Arial Narrow"/>
        <w:sz w:val="16"/>
        <w:szCs w:val="16"/>
      </w:rPr>
      <w:t>EZP-271-2-35/2017</w:t>
    </w:r>
  </w:p>
  <w:p w:rsidR="00CE052A" w:rsidRPr="00982A01" w:rsidRDefault="00A127DA">
    <w:pPr>
      <w:pStyle w:val="Stopka"/>
      <w:rPr>
        <w:rFonts w:ascii="Arial Narrow" w:hAnsi="Arial Narrow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2A" w:rsidRDefault="00A127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8"/>
    <w:rsid w:val="00241B88"/>
    <w:rsid w:val="006C63EE"/>
    <w:rsid w:val="00A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4857-A7AB-4471-B98A-7F7F4D0A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4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41B88"/>
  </w:style>
  <w:style w:type="paragraph" w:styleId="Stopka">
    <w:name w:val="footer"/>
    <w:basedOn w:val="Normalny"/>
    <w:link w:val="StopkaZnak"/>
    <w:uiPriority w:val="99"/>
    <w:unhideWhenUsed/>
    <w:rsid w:val="0024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88"/>
  </w:style>
  <w:style w:type="paragraph" w:customStyle="1" w:styleId="StandardowyStandardowy1">
    <w:name w:val="Standardowy.Standardowy1"/>
    <w:rsid w:val="00241B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dcterms:created xsi:type="dcterms:W3CDTF">2017-06-13T07:47:00Z</dcterms:created>
  <dcterms:modified xsi:type="dcterms:W3CDTF">2017-06-13T07:51:00Z</dcterms:modified>
</cp:coreProperties>
</file>