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882260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 xml:space="preserve">Kraków, </w:t>
      </w:r>
      <w:r w:rsidR="00F8748D">
        <w:rPr>
          <w:rFonts w:cs="Tahoma"/>
          <w:sz w:val="20"/>
          <w:szCs w:val="20"/>
        </w:rPr>
        <w:t>03</w:t>
      </w:r>
      <w:r w:rsidR="00C508E9" w:rsidRPr="00882260">
        <w:rPr>
          <w:rFonts w:cs="Tahoma"/>
          <w:sz w:val="20"/>
          <w:szCs w:val="20"/>
        </w:rPr>
        <w:t>.0</w:t>
      </w:r>
      <w:r w:rsidR="00F8748D">
        <w:rPr>
          <w:rFonts w:cs="Tahoma"/>
          <w:sz w:val="20"/>
          <w:szCs w:val="20"/>
        </w:rPr>
        <w:t>1.2017</w:t>
      </w: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>EZP-271-2/</w:t>
      </w:r>
      <w:r w:rsidR="00F8748D">
        <w:rPr>
          <w:rFonts w:cs="Tahoma"/>
          <w:sz w:val="20"/>
          <w:szCs w:val="20"/>
        </w:rPr>
        <w:t>132</w:t>
      </w:r>
      <w:r w:rsidRPr="00882260">
        <w:rPr>
          <w:rFonts w:cs="Tahoma"/>
          <w:sz w:val="20"/>
          <w:szCs w:val="20"/>
        </w:rPr>
        <w:t>/201</w:t>
      </w:r>
      <w:r w:rsidR="00C508E9" w:rsidRPr="00882260">
        <w:rPr>
          <w:rFonts w:cs="Tahoma"/>
          <w:sz w:val="20"/>
          <w:szCs w:val="20"/>
        </w:rPr>
        <w:t>6</w:t>
      </w:r>
      <w:r w:rsidR="00737E97" w:rsidRPr="00882260">
        <w:rPr>
          <w:rFonts w:cs="Tahoma"/>
          <w:sz w:val="20"/>
          <w:szCs w:val="20"/>
        </w:rPr>
        <w:t>/p-1</w:t>
      </w:r>
    </w:p>
    <w:p w:rsidR="00C508E9" w:rsidRPr="00882260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882260" w:rsidRDefault="00EF778C" w:rsidP="00FC377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E77CC" w:rsidRPr="00882260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0"/>
        </w:rPr>
      </w:pPr>
      <w:r w:rsidRPr="00882260">
        <w:rPr>
          <w:rFonts w:eastAsia="Times New Roman" w:cs="Arial"/>
          <w:sz w:val="20"/>
          <w:szCs w:val="20"/>
        </w:rPr>
        <w:t xml:space="preserve">Dotyczy: </w:t>
      </w:r>
      <w:r w:rsidR="006D14B9" w:rsidRPr="00882260">
        <w:rPr>
          <w:rFonts w:eastAsia="Times New Roman" w:cs="Arial"/>
          <w:sz w:val="20"/>
          <w:szCs w:val="20"/>
        </w:rPr>
        <w:t>przetargu nieograniczonego na</w:t>
      </w:r>
      <w:r w:rsidR="00737E97" w:rsidRPr="00882260">
        <w:rPr>
          <w:rFonts w:eastAsia="Times New Roman" w:cs="Arial"/>
          <w:sz w:val="20"/>
          <w:szCs w:val="20"/>
        </w:rPr>
        <w:t xml:space="preserve"> </w:t>
      </w:r>
      <w:r w:rsidR="00EE77CC" w:rsidRPr="00882260">
        <w:rPr>
          <w:rFonts w:eastAsia="Lucida Sans Unicode" w:cs="Arial"/>
          <w:kern w:val="1"/>
          <w:sz w:val="20"/>
          <w:szCs w:val="20"/>
        </w:rPr>
        <w:t>dostawę</w:t>
      </w:r>
      <w:r w:rsidR="00882260" w:rsidRPr="00882260">
        <w:rPr>
          <w:rFonts w:eastAsia="Lucida Sans Unicode" w:cs="Arial"/>
          <w:kern w:val="1"/>
          <w:sz w:val="20"/>
          <w:szCs w:val="20"/>
        </w:rPr>
        <w:t xml:space="preserve"> </w:t>
      </w:r>
      <w:r w:rsidR="00F8748D">
        <w:rPr>
          <w:rFonts w:ascii="Calibri" w:eastAsia="Lucida Sans Unicode" w:hAnsi="Calibri" w:cs="Arial"/>
          <w:kern w:val="1"/>
          <w:sz w:val="20"/>
          <w:szCs w:val="20"/>
        </w:rPr>
        <w:t>drobnego sprzętu medycznego 16 grup</w:t>
      </w:r>
      <w:r w:rsidR="00EE77CC" w:rsidRPr="00882260">
        <w:rPr>
          <w:rFonts w:cs="Arial"/>
          <w:i/>
          <w:sz w:val="20"/>
          <w:szCs w:val="20"/>
        </w:rPr>
        <w:t>,</w:t>
      </w:r>
      <w:r w:rsidR="00EE77CC" w:rsidRPr="00882260">
        <w:rPr>
          <w:rFonts w:cs="Arial"/>
          <w:i/>
          <w:sz w:val="20"/>
          <w:szCs w:val="20"/>
          <w:lang w:eastAsia="pl-PL"/>
        </w:rPr>
        <w:t xml:space="preserve"> </w:t>
      </w:r>
      <w:r w:rsidR="00EE77CC" w:rsidRPr="00882260">
        <w:rPr>
          <w:rFonts w:cs="Arial"/>
          <w:color w:val="000000"/>
          <w:sz w:val="20"/>
          <w:szCs w:val="20"/>
        </w:rPr>
        <w:t xml:space="preserve">znak sprawy </w:t>
      </w:r>
      <w:r w:rsidR="00882260" w:rsidRPr="00882260">
        <w:rPr>
          <w:rFonts w:eastAsia="Lucida Sans Unicode" w:cs="Arial"/>
          <w:kern w:val="1"/>
          <w:sz w:val="20"/>
          <w:szCs w:val="20"/>
        </w:rPr>
        <w:t>E</w:t>
      </w:r>
      <w:r w:rsidR="00F8748D">
        <w:rPr>
          <w:rFonts w:eastAsia="Lucida Sans Unicode" w:cs="Arial"/>
          <w:kern w:val="1"/>
          <w:sz w:val="20"/>
          <w:szCs w:val="20"/>
        </w:rPr>
        <w:t>ZP-271-2/132</w:t>
      </w:r>
      <w:r w:rsidR="00EE77CC" w:rsidRPr="00882260">
        <w:rPr>
          <w:rFonts w:eastAsia="Lucida Sans Unicode" w:cs="Arial"/>
          <w:kern w:val="1"/>
          <w:sz w:val="20"/>
          <w:szCs w:val="20"/>
        </w:rPr>
        <w:t>/2016</w:t>
      </w:r>
      <w:r w:rsidR="00EE77CC" w:rsidRPr="00882260">
        <w:rPr>
          <w:rFonts w:cs="Arial"/>
          <w:color w:val="000000"/>
          <w:sz w:val="20"/>
          <w:szCs w:val="20"/>
        </w:rPr>
        <w:t>.</w:t>
      </w:r>
    </w:p>
    <w:p w:rsidR="00EE77CC" w:rsidRPr="00882260" w:rsidRDefault="00EE77CC" w:rsidP="00FC377C">
      <w:pPr>
        <w:pStyle w:val="Nagwek6"/>
        <w:spacing w:before="0"/>
        <w:rPr>
          <w:rFonts w:asciiTheme="minorHAnsi" w:hAnsiTheme="minorHAnsi" w:cs="Arial"/>
          <w:sz w:val="20"/>
          <w:szCs w:val="20"/>
          <w:lang w:val="pl-PL"/>
        </w:rPr>
      </w:pPr>
    </w:p>
    <w:p w:rsidR="00CC1D65" w:rsidRDefault="00F8748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związku z zapytaniami Wykonawców, Zamawiający wyjaśnia:</w:t>
      </w:r>
    </w:p>
    <w:p w:rsidR="00F8748D" w:rsidRDefault="00F8748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748D" w:rsidRPr="00F8748D" w:rsidRDefault="00F8748D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F8748D">
        <w:rPr>
          <w:rFonts w:cs="Times New Roman"/>
          <w:sz w:val="18"/>
          <w:szCs w:val="18"/>
        </w:rPr>
        <w:t>Pytanie 1</w:t>
      </w:r>
    </w:p>
    <w:p w:rsidR="00F8748D" w:rsidRPr="00F8748D" w:rsidRDefault="00F8748D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F8748D">
        <w:rPr>
          <w:rFonts w:eastAsia="Calibri"/>
          <w:sz w:val="18"/>
          <w:szCs w:val="18"/>
        </w:rPr>
        <w:t>Dotyczy § 8 ustęp 1 punkt 3 ppkt. a) i b) umowy. Czy Zamawiający wyrazi zgodę na wskazanie jako podstawy do ustalenia wysokości kary umownej wartość niezrealizowanej części umowy? W przypadku zrealizowania zgodnie z umową znacznej części przedmiotu umowy, naliczanie kar od całości jest wyraźnie zawyżona.</w:t>
      </w:r>
    </w:p>
    <w:p w:rsidR="00F8748D" w:rsidRPr="00F8748D" w:rsidRDefault="00F8748D" w:rsidP="00F8748D">
      <w:pPr>
        <w:spacing w:after="0" w:line="240" w:lineRule="auto"/>
        <w:jc w:val="both"/>
        <w:rPr>
          <w:rFonts w:eastAsia="Calibri"/>
          <w:b/>
          <w:sz w:val="18"/>
          <w:szCs w:val="18"/>
        </w:rPr>
      </w:pPr>
      <w:r w:rsidRPr="00F8748D">
        <w:rPr>
          <w:rFonts w:eastAsia="Calibri"/>
          <w:b/>
          <w:sz w:val="18"/>
          <w:szCs w:val="18"/>
        </w:rPr>
        <w:t>Odpowiedź: Zamawiający podtrzymuje zapisy siwz.</w:t>
      </w:r>
    </w:p>
    <w:p w:rsidR="00F8748D" w:rsidRDefault="00F8748D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F8748D" w:rsidRPr="00F8748D" w:rsidRDefault="00F8748D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F8748D">
        <w:rPr>
          <w:rFonts w:eastAsia="Calibri"/>
          <w:sz w:val="18"/>
          <w:szCs w:val="18"/>
        </w:rPr>
        <w:t>Pytanie 2</w:t>
      </w:r>
    </w:p>
    <w:p w:rsidR="00F8748D" w:rsidRPr="00F8748D" w:rsidRDefault="00F8748D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F8748D">
        <w:rPr>
          <w:rFonts w:eastAsia="Calibri"/>
          <w:sz w:val="18"/>
          <w:szCs w:val="18"/>
        </w:rPr>
        <w:t>Dotyczy projektu umowy. W oparciu o obowiązujące przepisy prawne, zwracamy się z prośbą o dodatnie w zapisach umowy informacji, iż w przypadku konieczności zwrotu zakupionego towaru,  Zamawiający udostępni kopię rejestru warunków przechowywania produktu w aptece, od dnia dostawy do dnia zwrotu towaru.</w:t>
      </w:r>
    </w:p>
    <w:p w:rsidR="00F8748D" w:rsidRPr="00F8748D" w:rsidRDefault="00F8748D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F8748D">
        <w:rPr>
          <w:rFonts w:eastAsia="Calibri"/>
          <w:sz w:val="18"/>
          <w:szCs w:val="18"/>
        </w:rPr>
        <w:t>- Wytyczne UE z dnia 7 marca 2013 r.  w sprawie Dobrej Praktyki Dystrybucyjnej (Dz.Urz. UE  2013/C 68/01 ) Rozdział 5 pkt 6.3 (produkty lecznicze, które opuściły pomieszczenia dystrybutora mogą powrócić do zapasów przeznaczonych do sprzedaży, tylko pod warunkiem potwierdzenia wszystkich wymienionych w Wytycznych okoliczności. Między innymi:  klient wykazał że transport produktów leczniczych, ich przechowywanie i postępowanie z nimi odbywało się zgodnie ze specjalnymi wymogami dotyczącymi ich przechowywania)</w:t>
      </w:r>
    </w:p>
    <w:p w:rsidR="00F8748D" w:rsidRPr="00F8748D" w:rsidRDefault="00F8748D" w:rsidP="00F8748D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F8748D">
        <w:rPr>
          <w:rFonts w:eastAsia="Calibri"/>
          <w:sz w:val="18"/>
          <w:szCs w:val="18"/>
        </w:rPr>
        <w:t>- Rozporządzenie Ministra Zdrowia z dnia 18 października 2002 r. w sprawie podstawowych warunków prowadzenia apteki (Dz. U. z dnia 12 listopada 2002 r.)</w:t>
      </w:r>
    </w:p>
    <w:p w:rsidR="00F8748D" w:rsidRPr="00F8748D" w:rsidRDefault="00F8748D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F8748D">
        <w:rPr>
          <w:rFonts w:eastAsia="Calibri"/>
          <w:sz w:val="18"/>
          <w:szCs w:val="18"/>
        </w:rPr>
        <w:t>§ 2. Produkty lecznicze i wyroby medyczne muszą być przechowywane w aptece w sposób gwarantujący zachowanie ustalonych dla produktu leczniczego lub wyrobu medycznego wymagań jakościowych i bezpieczeństwo przechowywania.</w:t>
      </w:r>
    </w:p>
    <w:p w:rsidR="00F8748D" w:rsidRPr="00F8748D" w:rsidRDefault="00F8748D" w:rsidP="00F8748D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F8748D">
        <w:rPr>
          <w:rFonts w:cs="Times New Roman"/>
          <w:b/>
          <w:sz w:val="18"/>
          <w:szCs w:val="18"/>
        </w:rPr>
        <w:t>Odpowiedź: Asortyment będący przedmiotem niniejszego postepowania  nie jest przechowywany w aptece.</w:t>
      </w:r>
    </w:p>
    <w:p w:rsidR="00F8748D" w:rsidRDefault="00F8748D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8748D" w:rsidRPr="00F8748D" w:rsidRDefault="00F8748D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Pytanie 3</w:t>
      </w:r>
    </w:p>
    <w:p w:rsidR="00F8748D" w:rsidRPr="00F8748D" w:rsidRDefault="00F8748D" w:rsidP="00F8748D">
      <w:pPr>
        <w:spacing w:after="0" w:line="240" w:lineRule="auto"/>
        <w:jc w:val="both"/>
        <w:rPr>
          <w:bCs/>
          <w:sz w:val="18"/>
          <w:szCs w:val="18"/>
        </w:rPr>
      </w:pPr>
      <w:r w:rsidRPr="00F8748D">
        <w:rPr>
          <w:bCs/>
          <w:sz w:val="18"/>
          <w:szCs w:val="18"/>
        </w:rPr>
        <w:t>Czy w celu miarkowania kar umownych Zamawiający dokona modyfikacji postanowień projektu przyszłej umowy w zakresie zapisów § 6 ust. 1</w:t>
      </w:r>
    </w:p>
    <w:p w:rsidR="00F8748D" w:rsidRPr="00F8748D" w:rsidRDefault="00F8748D" w:rsidP="00F8748D">
      <w:pPr>
        <w:pStyle w:val="Akapitzlist"/>
        <w:spacing w:after="0" w:line="240" w:lineRule="auto"/>
        <w:ind w:left="284" w:hanging="284"/>
        <w:jc w:val="both"/>
        <w:rPr>
          <w:bCs/>
          <w:sz w:val="18"/>
          <w:szCs w:val="18"/>
        </w:rPr>
      </w:pPr>
      <w:r w:rsidRPr="00F8748D">
        <w:rPr>
          <w:bCs/>
          <w:sz w:val="18"/>
          <w:szCs w:val="18"/>
        </w:rPr>
        <w:t>1.</w:t>
      </w:r>
      <w:r w:rsidRPr="00F8748D">
        <w:rPr>
          <w:bCs/>
          <w:sz w:val="18"/>
          <w:szCs w:val="18"/>
        </w:rPr>
        <w:tab/>
        <w:t>Za niewykonanie lub nienależyte wykonanie umowy Wykonawca zobowiązuje się zapłacić Zamawiającemu kary umowne:</w:t>
      </w:r>
    </w:p>
    <w:p w:rsidR="00F8748D" w:rsidRPr="00F8748D" w:rsidRDefault="00F8748D" w:rsidP="00F8748D">
      <w:pPr>
        <w:pStyle w:val="Akapitzlist"/>
        <w:spacing w:after="0" w:line="240" w:lineRule="auto"/>
        <w:ind w:left="284" w:hanging="284"/>
        <w:jc w:val="both"/>
        <w:rPr>
          <w:bCs/>
          <w:sz w:val="18"/>
          <w:szCs w:val="18"/>
        </w:rPr>
      </w:pPr>
      <w:r w:rsidRPr="00F8748D">
        <w:rPr>
          <w:bCs/>
          <w:sz w:val="18"/>
          <w:szCs w:val="18"/>
        </w:rPr>
        <w:t xml:space="preserve">A/ w wysokości 10 %  wartości </w:t>
      </w:r>
      <w:r w:rsidRPr="00F8748D">
        <w:rPr>
          <w:b/>
          <w:bCs/>
          <w:sz w:val="18"/>
          <w:szCs w:val="18"/>
          <w:u w:val="single"/>
        </w:rPr>
        <w:t>brutto niezrealizowanej części</w:t>
      </w:r>
      <w:r w:rsidRPr="00F8748D">
        <w:rPr>
          <w:bCs/>
          <w:sz w:val="18"/>
          <w:szCs w:val="18"/>
        </w:rPr>
        <w:t xml:space="preserve"> umowy, gdy Zamawiający odstąpi od umowy z powodu okoliczności, za które odpowiada Wykonawca. Dotyczy to w szczególności sytuacji powtarzającej się realizacji poszczególnych zamówień nieterminowo (3 nieterminowe dostawy z przekroczeniem terminu powyżej 2 dni), dostarczania produktów bez wymaganego minimalnego terminu ważności lub powtarzających się reklamacji ilościowych lub jakościowych. </w:t>
      </w:r>
    </w:p>
    <w:p w:rsidR="00F8748D" w:rsidRPr="00F8748D" w:rsidRDefault="00F8748D" w:rsidP="00F8748D">
      <w:pPr>
        <w:pStyle w:val="Akapitzlist"/>
        <w:spacing w:after="0" w:line="240" w:lineRule="auto"/>
        <w:ind w:left="284" w:hanging="284"/>
        <w:jc w:val="both"/>
        <w:rPr>
          <w:bCs/>
          <w:sz w:val="18"/>
          <w:szCs w:val="18"/>
        </w:rPr>
      </w:pPr>
      <w:r w:rsidRPr="00F8748D">
        <w:rPr>
          <w:bCs/>
          <w:sz w:val="18"/>
          <w:szCs w:val="18"/>
        </w:rPr>
        <w:t xml:space="preserve">B/ w wysokości </w:t>
      </w:r>
      <w:r w:rsidRPr="00F8748D">
        <w:rPr>
          <w:b/>
          <w:bCs/>
          <w:sz w:val="18"/>
          <w:szCs w:val="18"/>
          <w:u w:val="single"/>
        </w:rPr>
        <w:t>0,5 %</w:t>
      </w:r>
      <w:r w:rsidRPr="00F8748D">
        <w:rPr>
          <w:bCs/>
          <w:sz w:val="18"/>
          <w:szCs w:val="18"/>
        </w:rPr>
        <w:t xml:space="preserve"> wartości brutto niezrealizowanej w terminie dostawy partii towaru za każdy rozpoczęty dzień zwłoki, jednak nie więcej niż </w:t>
      </w:r>
      <w:r w:rsidRPr="00F8748D">
        <w:rPr>
          <w:b/>
          <w:bCs/>
          <w:sz w:val="18"/>
          <w:szCs w:val="18"/>
          <w:u w:val="single"/>
        </w:rPr>
        <w:t>10%</w:t>
      </w:r>
      <w:r w:rsidRPr="00F8748D">
        <w:rPr>
          <w:bCs/>
          <w:sz w:val="18"/>
          <w:szCs w:val="18"/>
        </w:rPr>
        <w:t xml:space="preserve"> wartości </w:t>
      </w:r>
      <w:r w:rsidRPr="00F8748D">
        <w:rPr>
          <w:b/>
          <w:bCs/>
          <w:sz w:val="18"/>
          <w:szCs w:val="18"/>
          <w:u w:val="single"/>
        </w:rPr>
        <w:t xml:space="preserve">brutto </w:t>
      </w:r>
      <w:r w:rsidRPr="00F8748D">
        <w:rPr>
          <w:bCs/>
          <w:sz w:val="18"/>
          <w:szCs w:val="18"/>
        </w:rPr>
        <w:t>niezrealizowanej partii towaru</w:t>
      </w:r>
    </w:p>
    <w:p w:rsidR="00F8748D" w:rsidRPr="00F8748D" w:rsidRDefault="00F8748D" w:rsidP="00F8748D">
      <w:pPr>
        <w:pStyle w:val="Akapitzlist"/>
        <w:spacing w:after="0" w:line="240" w:lineRule="auto"/>
        <w:ind w:left="284" w:hanging="284"/>
        <w:jc w:val="both"/>
        <w:rPr>
          <w:bCs/>
          <w:sz w:val="18"/>
          <w:szCs w:val="18"/>
        </w:rPr>
      </w:pPr>
      <w:r w:rsidRPr="00F8748D">
        <w:rPr>
          <w:bCs/>
          <w:sz w:val="18"/>
          <w:szCs w:val="18"/>
        </w:rPr>
        <w:t xml:space="preserve">C/ w wysokości </w:t>
      </w:r>
      <w:r w:rsidRPr="00F8748D">
        <w:rPr>
          <w:b/>
          <w:bCs/>
          <w:sz w:val="18"/>
          <w:szCs w:val="18"/>
          <w:u w:val="single"/>
        </w:rPr>
        <w:t>2%</w:t>
      </w:r>
      <w:r w:rsidRPr="00F8748D">
        <w:rPr>
          <w:bCs/>
          <w:sz w:val="18"/>
          <w:szCs w:val="18"/>
        </w:rPr>
        <w:t xml:space="preserve"> wartości brutto reklamowanego towaru z tytułu nie załatwienia reklamacji w terminie za każdy rozpoczęty dzień zwłoki, jednak nie więcej niż </w:t>
      </w:r>
      <w:r w:rsidRPr="00F8748D">
        <w:rPr>
          <w:b/>
          <w:bCs/>
          <w:sz w:val="18"/>
          <w:szCs w:val="18"/>
          <w:u w:val="single"/>
        </w:rPr>
        <w:t>10%</w:t>
      </w:r>
      <w:r w:rsidRPr="00F8748D">
        <w:rPr>
          <w:bCs/>
          <w:sz w:val="18"/>
          <w:szCs w:val="18"/>
        </w:rPr>
        <w:t xml:space="preserve"> wartości </w:t>
      </w:r>
      <w:r w:rsidRPr="00F8748D">
        <w:rPr>
          <w:b/>
          <w:bCs/>
          <w:sz w:val="18"/>
          <w:szCs w:val="18"/>
          <w:u w:val="single"/>
        </w:rPr>
        <w:t>brutto</w:t>
      </w:r>
      <w:r w:rsidRPr="00F8748D">
        <w:rPr>
          <w:bCs/>
          <w:sz w:val="18"/>
          <w:szCs w:val="18"/>
        </w:rPr>
        <w:t xml:space="preserve"> reklamowanego towaru.</w:t>
      </w:r>
    </w:p>
    <w:p w:rsidR="00F8748D" w:rsidRPr="00BC7117" w:rsidRDefault="00F8748D" w:rsidP="00F8748D">
      <w:pPr>
        <w:spacing w:after="0" w:line="240" w:lineRule="auto"/>
        <w:rPr>
          <w:b/>
          <w:bCs/>
          <w:sz w:val="18"/>
          <w:szCs w:val="18"/>
        </w:rPr>
      </w:pPr>
      <w:r w:rsidRPr="00BC7117">
        <w:rPr>
          <w:b/>
          <w:bCs/>
          <w:sz w:val="18"/>
          <w:szCs w:val="18"/>
        </w:rPr>
        <w:t>Odpowiedź: Zamawiający podtrzymuje zapisy siwz.</w:t>
      </w:r>
    </w:p>
    <w:p w:rsidR="00F8748D" w:rsidRDefault="00F8748D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C7117" w:rsidRDefault="00BC7117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Zamawiający zmienił zakres GRUPY 4 niniejszego postepowania. Aktualny zakres – formularz cenowy w załączeniu, kwota wadium nie ulega zmianie.</w:t>
      </w:r>
      <w:r w:rsidR="004F0D37">
        <w:rPr>
          <w:rFonts w:cs="Times New Roman"/>
          <w:sz w:val="18"/>
          <w:szCs w:val="18"/>
        </w:rPr>
        <w:t xml:space="preserve">  W zakresie kryterium </w:t>
      </w:r>
      <w:r w:rsidR="004E6B28">
        <w:rPr>
          <w:rFonts w:cs="Times New Roman"/>
          <w:sz w:val="18"/>
          <w:szCs w:val="18"/>
        </w:rPr>
        <w:t xml:space="preserve">ocena walorów użytkowych poz. </w:t>
      </w:r>
      <w:r w:rsidR="004F0D37">
        <w:rPr>
          <w:rFonts w:cs="Times New Roman"/>
          <w:sz w:val="18"/>
          <w:szCs w:val="18"/>
        </w:rPr>
        <w:t xml:space="preserve"> 2 aktualnego formularza  cenowego </w:t>
      </w:r>
      <w:r w:rsidR="004E6B28">
        <w:rPr>
          <w:rFonts w:cs="Times New Roman"/>
          <w:sz w:val="18"/>
          <w:szCs w:val="18"/>
        </w:rPr>
        <w:t>będzie</w:t>
      </w:r>
      <w:r w:rsidR="004F0D37">
        <w:rPr>
          <w:rFonts w:cs="Times New Roman"/>
          <w:sz w:val="18"/>
          <w:szCs w:val="18"/>
        </w:rPr>
        <w:t xml:space="preserve"> </w:t>
      </w:r>
      <w:r w:rsidR="004E6B28">
        <w:rPr>
          <w:rFonts w:cs="Times New Roman"/>
          <w:sz w:val="18"/>
          <w:szCs w:val="18"/>
        </w:rPr>
        <w:t xml:space="preserve">oceniana zgodnie </w:t>
      </w:r>
      <w:r w:rsidR="00687D7A">
        <w:rPr>
          <w:rFonts w:cs="Times New Roman"/>
          <w:sz w:val="18"/>
          <w:szCs w:val="18"/>
        </w:rPr>
        <w:t>z opisem i punktacją podaną</w:t>
      </w:r>
      <w:r w:rsidR="004E6B28">
        <w:rPr>
          <w:rFonts w:cs="Times New Roman"/>
          <w:sz w:val="18"/>
          <w:szCs w:val="18"/>
        </w:rPr>
        <w:t xml:space="preserve"> dla poz. 1 grupy 4</w:t>
      </w:r>
    </w:p>
    <w:p w:rsidR="004E6B28" w:rsidRDefault="004E6B28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C7117" w:rsidRDefault="00BC7117" w:rsidP="00F8748D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Zamawiający zmienił termin składania i otwarcia ofert. Nowe terminy:</w:t>
      </w:r>
    </w:p>
    <w:p w:rsidR="00BC7117" w:rsidRPr="00BC7117" w:rsidRDefault="00BC7117" w:rsidP="00F8748D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BC7117">
        <w:rPr>
          <w:rFonts w:cs="Times New Roman"/>
          <w:b/>
          <w:sz w:val="18"/>
          <w:szCs w:val="18"/>
        </w:rPr>
        <w:t xml:space="preserve">SKŁADANIA OFERT: </w:t>
      </w:r>
      <w:r w:rsidR="00CD5563">
        <w:rPr>
          <w:rFonts w:cs="Times New Roman"/>
          <w:b/>
          <w:sz w:val="18"/>
          <w:szCs w:val="18"/>
        </w:rPr>
        <w:t xml:space="preserve">26.01.2017 </w:t>
      </w:r>
      <w:r w:rsidRPr="00BC7117">
        <w:rPr>
          <w:rFonts w:cs="Times New Roman"/>
          <w:b/>
          <w:sz w:val="18"/>
          <w:szCs w:val="18"/>
        </w:rPr>
        <w:t>r. do godz. 10:45</w:t>
      </w:r>
    </w:p>
    <w:p w:rsidR="00BC7117" w:rsidRPr="00BC7117" w:rsidRDefault="00CD5563" w:rsidP="00F8748D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OTWARCIA OFERT: 26.01.2017 </w:t>
      </w:r>
      <w:r w:rsidR="00BC7117" w:rsidRPr="00BC7117">
        <w:rPr>
          <w:rFonts w:cs="Times New Roman"/>
          <w:b/>
          <w:sz w:val="18"/>
          <w:szCs w:val="18"/>
        </w:rPr>
        <w:t>r godz. 11:00</w:t>
      </w:r>
    </w:p>
    <w:p w:rsidR="00687D7A" w:rsidRDefault="00687D7A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Powyższe zmienione terminy dotyczą również składania próbek do niniejszego postepowania.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Pozostałe zapisy siwz pozostają bez zmian.</w:t>
      </w:r>
      <w:bookmarkStart w:id="0" w:name="_GoBack"/>
      <w:bookmarkEnd w:id="0"/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882260" w:rsidRDefault="00E46F78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  <w:t>Z-ca Dyrektora ds.</w:t>
      </w:r>
      <w:r w:rsidR="00737E97" w:rsidRPr="00882260">
        <w:rPr>
          <w:rFonts w:cs="Times New Roman"/>
          <w:sz w:val="20"/>
          <w:szCs w:val="20"/>
        </w:rPr>
        <w:t xml:space="preserve"> </w:t>
      </w:r>
      <w:r w:rsidR="00EE77CC" w:rsidRPr="00882260">
        <w:rPr>
          <w:rFonts w:cs="Times New Roman"/>
          <w:sz w:val="20"/>
          <w:szCs w:val="20"/>
        </w:rPr>
        <w:t>Lecznictwa</w:t>
      </w:r>
    </w:p>
    <w:p w:rsidR="005B1824" w:rsidRDefault="009B5FAE" w:rsidP="00687D7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="00EE77CC" w:rsidRPr="00882260">
        <w:rPr>
          <w:rFonts w:cs="Times New Roman"/>
          <w:sz w:val="20"/>
          <w:szCs w:val="20"/>
        </w:rPr>
        <w:t>lek. med. Andrzej Bałaga</w:t>
      </w:r>
    </w:p>
    <w:p w:rsidR="004F0D37" w:rsidRDefault="004F0D37" w:rsidP="00687D7A">
      <w:pPr>
        <w:spacing w:after="0" w:line="240" w:lineRule="auto"/>
        <w:jc w:val="both"/>
        <w:rPr>
          <w:rFonts w:ascii="Calibri" w:hAnsi="Calibri"/>
          <w:sz w:val="16"/>
          <w:szCs w:val="16"/>
        </w:rPr>
        <w:sectPr w:rsidR="004F0D37" w:rsidSect="00EA1F46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:rsidR="004F0D37" w:rsidRPr="004A29D4" w:rsidRDefault="004E6B28" w:rsidP="004E6B28">
      <w:pPr>
        <w:spacing w:after="0" w:line="240" w:lineRule="auto"/>
        <w:ind w:left="1205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załącznik 3/4</w:t>
      </w:r>
      <w:r w:rsidR="005B1824">
        <w:rPr>
          <w:rFonts w:ascii="Calibri" w:hAnsi="Calibri"/>
          <w:sz w:val="16"/>
          <w:szCs w:val="16"/>
        </w:rPr>
        <w:t xml:space="preserve"> do siwz</w:t>
      </w:r>
    </w:p>
    <w:p w:rsidR="004F0D37" w:rsidRPr="004A29D4" w:rsidRDefault="004F0D37" w:rsidP="004E6B28">
      <w:pPr>
        <w:pStyle w:val="StandardowyStandardowy1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4F0D37" w:rsidRPr="004A29D4" w:rsidRDefault="004F0D37" w:rsidP="004E6B28">
      <w:pPr>
        <w:spacing w:after="0" w:line="240" w:lineRule="auto"/>
        <w:rPr>
          <w:rFonts w:ascii="Calibri" w:hAnsi="Calibri"/>
          <w:sz w:val="16"/>
          <w:szCs w:val="16"/>
        </w:rPr>
      </w:pPr>
    </w:p>
    <w:p w:rsidR="004F0D37" w:rsidRPr="004A29D4" w:rsidRDefault="004F0D37" w:rsidP="004E6B28">
      <w:pPr>
        <w:spacing w:after="0" w:line="240" w:lineRule="auto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</w:p>
    <w:p w:rsidR="004F0D37" w:rsidRDefault="004F0D37" w:rsidP="004E6B28">
      <w:pPr>
        <w:spacing w:after="0" w:line="240" w:lineRule="auto"/>
        <w:ind w:hanging="426"/>
        <w:jc w:val="center"/>
        <w:rPr>
          <w:rFonts w:ascii="Calibri" w:hAnsi="Calibri"/>
          <w:b/>
          <w:sz w:val="16"/>
          <w:szCs w:val="16"/>
        </w:rPr>
      </w:pPr>
      <w:r w:rsidRPr="004A29D4">
        <w:rPr>
          <w:rFonts w:ascii="Calibri" w:hAnsi="Calibri"/>
          <w:b/>
          <w:sz w:val="16"/>
          <w:szCs w:val="16"/>
        </w:rPr>
        <w:t xml:space="preserve">SZCZEGÓŁOWA SPECYFIKACJA - </w:t>
      </w:r>
      <w:r w:rsidRPr="004A29D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GRUPA 4</w:t>
      </w:r>
    </w:p>
    <w:p w:rsidR="004F0D37" w:rsidRDefault="004F0D37" w:rsidP="004E6B28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W w:w="14884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851"/>
        <w:gridCol w:w="850"/>
        <w:gridCol w:w="1134"/>
        <w:gridCol w:w="567"/>
        <w:gridCol w:w="992"/>
        <w:gridCol w:w="709"/>
        <w:gridCol w:w="1134"/>
        <w:gridCol w:w="992"/>
        <w:gridCol w:w="1134"/>
        <w:gridCol w:w="1134"/>
      </w:tblGrid>
      <w:tr w:rsidR="004F0D37" w:rsidRPr="006054D3" w:rsidTr="00104DF4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sz w:val="14"/>
                <w:szCs w:val="14"/>
                <w:lang w:eastAsia="pl-PL"/>
              </w:rPr>
              <w:t>L.P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Nazwa przedmiotu zamówienia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pacing w:after="0" w:line="240" w:lineRule="auto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Orientacyjne zużycie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VAT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Wartość 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Pełny</w:t>
            </w:r>
          </w:p>
          <w:p w:rsidR="004F0D37" w:rsidRPr="006054D3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Numer i data ważn. świad. dopuszczenia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  <w:r w:rsidRPr="006054D3"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  <w:t>Klasa wyrobu medyczn.*</w:t>
            </w:r>
          </w:p>
        </w:tc>
      </w:tr>
      <w:tr w:rsidR="004F0D37" w:rsidRPr="006054D3" w:rsidTr="005B1824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Zestawy do przetoczeń krwi i środków krwiopochodnych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komora kroplowa wolna od PVC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całość bez zawartości ftalanów ( informacja podana na opakowaniu jednostkowym)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-zacisk rolkowy wyposażony w uchwyt na dren oraz możliwość zabezpieczenia igły biorczej po użyciu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-nazwa producenta na zaciskaczy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-opakowanie kolorystyczne folia-papier</w:t>
            </w:r>
          </w:p>
          <w:p w:rsidR="004F0D37" w:rsidRPr="00EB7D7F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-sterylny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F0D37" w:rsidRPr="00EB7D7F" w:rsidRDefault="004F0D37" w:rsidP="004E6B28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0D37" w:rsidRPr="00BA6311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  <w:tr w:rsidR="004F0D37" w:rsidRPr="006054D3" w:rsidTr="005B1824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F0D37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Przyrząd do przetaczania płynów infuzyjnych, komora kroplowa wykonana z PP o długości min. 65 mm, całość wolna od ftalanów i lateksu (informacja na opakowaniu jednostkowym), igła  biorcza ścięta dwupłaszczyznowa wykonana z ABS wzmocniona włóknem szklanym, zacisk rolkowy wyposażony w uchwyt na dren oraz możliwość zabezpieczenia igły biorczej po użyciu, nazwa producenta na zaciskaczu, opakowanie kolorystyczne folia-papier, sterylny. Komora zaopatrzona w filtr o wielkości oczek 15µm-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F0D37" w:rsidRDefault="004F0D37" w:rsidP="004E6B28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0D37" w:rsidRPr="00BA6311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  <w:tr w:rsidR="004F0D37" w:rsidRPr="006054D3" w:rsidTr="005B1824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F0D37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Aparat do infuzji grawitacyjnych z odpowietrznikiem z filtrem p/bakteryjnym i klapką – automatycznie zatrzymujący infuzję po opróżnieniu „jeziorka”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-zastawka zatrzymująca powietrze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-z zabezpieczeniem przez wypływem  płynu podczas jego wypełniania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-hydrofobowa zatyczka na końcu drenu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-długość 150-180 cm</w:t>
            </w:r>
          </w:p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-zestaw nie zawiera DEHP (potwierdzona dokumentami producenta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F0D37" w:rsidRDefault="004F0D37" w:rsidP="004E6B28">
            <w:pPr>
              <w:pStyle w:val="Zawartotabeli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0D37" w:rsidRPr="00BA6311" w:rsidRDefault="004F0D37" w:rsidP="004E6B28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  <w:tr w:rsidR="004F0D37" w:rsidRPr="006054D3" w:rsidTr="00104DF4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</w:tcBorders>
          </w:tcPr>
          <w:p w:rsidR="004F0D37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F0D37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0D37" w:rsidRDefault="004F0D37" w:rsidP="004E6B28"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D37" w:rsidRPr="006054D3" w:rsidRDefault="004F0D37" w:rsidP="004E6B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pl-PL"/>
              </w:rPr>
            </w:pPr>
          </w:p>
        </w:tc>
      </w:tr>
    </w:tbl>
    <w:p w:rsidR="004F0D37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Pr="004A29D4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</w:p>
    <w:p w:rsidR="004F0D37" w:rsidRPr="004A29D4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>……………………………………</w:t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  <w:t xml:space="preserve">   ….....................................................</w:t>
      </w:r>
    </w:p>
    <w:p w:rsidR="004F0D37" w:rsidRPr="004A29D4" w:rsidRDefault="004F0D37" w:rsidP="004E6B28">
      <w:pPr>
        <w:tabs>
          <w:tab w:val="left" w:pos="9000"/>
        </w:tabs>
        <w:spacing w:after="0" w:line="240" w:lineRule="auto"/>
        <w:rPr>
          <w:rFonts w:ascii="Calibri" w:hAnsi="Calibri"/>
          <w:sz w:val="16"/>
          <w:szCs w:val="16"/>
        </w:rPr>
      </w:pPr>
      <w:r w:rsidRPr="004A29D4">
        <w:rPr>
          <w:rFonts w:ascii="Calibri" w:hAnsi="Calibri"/>
          <w:sz w:val="16"/>
          <w:szCs w:val="16"/>
        </w:rPr>
        <w:t xml:space="preserve">Miejscowość, data </w:t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</w:r>
      <w:r w:rsidRPr="004A29D4">
        <w:rPr>
          <w:rFonts w:ascii="Calibri" w:hAnsi="Calibri"/>
          <w:sz w:val="16"/>
          <w:szCs w:val="16"/>
        </w:rPr>
        <w:tab/>
        <w:t xml:space="preserve">  (podpis Wykonawcy)</w:t>
      </w:r>
    </w:p>
    <w:p w:rsidR="004F0D37" w:rsidRDefault="004F0D37" w:rsidP="004F0D37">
      <w:pPr>
        <w:rPr>
          <w:rFonts w:ascii="Calibri" w:hAnsi="Calibri"/>
          <w:sz w:val="16"/>
          <w:szCs w:val="16"/>
        </w:rPr>
        <w:sectPr w:rsidR="004F0D37" w:rsidSect="004F0D37">
          <w:pgSz w:w="16838" w:h="11906" w:orient="landscape"/>
          <w:pgMar w:top="1418" w:right="425" w:bottom="1418" w:left="992" w:header="709" w:footer="709" w:gutter="0"/>
          <w:cols w:space="708"/>
          <w:docGrid w:linePitch="360"/>
        </w:sectPr>
      </w:pPr>
    </w:p>
    <w:p w:rsidR="009F2B27" w:rsidRPr="00EE77CC" w:rsidRDefault="009F2B27" w:rsidP="004F0D37">
      <w:pPr>
        <w:rPr>
          <w:sz w:val="16"/>
          <w:szCs w:val="16"/>
        </w:rPr>
      </w:pPr>
    </w:p>
    <w:sectPr w:rsidR="009F2B27" w:rsidRPr="00EE77CC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E6B28"/>
    <w:rsid w:val="004F0D37"/>
    <w:rsid w:val="00534DAA"/>
    <w:rsid w:val="0058208B"/>
    <w:rsid w:val="005B1824"/>
    <w:rsid w:val="005D7180"/>
    <w:rsid w:val="005E1B7B"/>
    <w:rsid w:val="0060595D"/>
    <w:rsid w:val="0065376E"/>
    <w:rsid w:val="00664435"/>
    <w:rsid w:val="00682453"/>
    <w:rsid w:val="00687D7A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C7117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D5563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8748D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StandardowyStandardowy1">
    <w:name w:val="Standardowy.Standardowy1"/>
    <w:rsid w:val="004F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2017-01-03T13:11:00Z</cp:lastPrinted>
  <dcterms:created xsi:type="dcterms:W3CDTF">2017-01-03T10:19:00Z</dcterms:created>
  <dcterms:modified xsi:type="dcterms:W3CDTF">2017-01-03T13:11:00Z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