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F732E4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Kraków, </w:t>
      </w:r>
      <w:r w:rsidR="00853AAC">
        <w:rPr>
          <w:rFonts w:ascii="Calibri" w:hAnsi="Calibri" w:cs="Tahoma"/>
          <w:sz w:val="18"/>
          <w:szCs w:val="18"/>
        </w:rPr>
        <w:t>12</w:t>
      </w:r>
      <w:r w:rsidR="00AB35A5">
        <w:rPr>
          <w:rFonts w:ascii="Calibri" w:hAnsi="Calibri" w:cs="Tahoma"/>
          <w:sz w:val="18"/>
          <w:szCs w:val="18"/>
        </w:rPr>
        <w:t>.12</w:t>
      </w:r>
      <w:r w:rsidR="008F43DC" w:rsidRPr="00F732E4">
        <w:rPr>
          <w:rFonts w:ascii="Calibri" w:hAnsi="Calibri" w:cs="Tahoma"/>
          <w:sz w:val="18"/>
          <w:szCs w:val="18"/>
        </w:rPr>
        <w:t>.2016</w:t>
      </w:r>
      <w:r w:rsidR="00F732E4">
        <w:rPr>
          <w:rFonts w:ascii="Calibri" w:hAnsi="Calibri" w:cs="Tahoma"/>
          <w:sz w:val="18"/>
          <w:szCs w:val="18"/>
        </w:rPr>
        <w:t>r</w:t>
      </w: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EZP-271-2/</w:t>
      </w:r>
      <w:r w:rsidR="00853AAC">
        <w:rPr>
          <w:rFonts w:ascii="Calibri" w:hAnsi="Calibri" w:cs="Tahoma"/>
          <w:sz w:val="18"/>
          <w:szCs w:val="18"/>
        </w:rPr>
        <w:t>120</w:t>
      </w:r>
      <w:r w:rsidRPr="00F732E4">
        <w:rPr>
          <w:rFonts w:ascii="Calibri" w:hAnsi="Calibri" w:cs="Tahoma"/>
          <w:sz w:val="18"/>
          <w:szCs w:val="18"/>
        </w:rPr>
        <w:t>/201</w:t>
      </w:r>
      <w:r w:rsidR="00C508E9" w:rsidRPr="00F732E4">
        <w:rPr>
          <w:rFonts w:ascii="Calibri" w:hAnsi="Calibri" w:cs="Tahoma"/>
          <w:sz w:val="18"/>
          <w:szCs w:val="18"/>
        </w:rPr>
        <w:t>6</w:t>
      </w:r>
      <w:r w:rsidR="00706587">
        <w:rPr>
          <w:rFonts w:ascii="Calibri" w:hAnsi="Calibri" w:cs="Tahoma"/>
          <w:sz w:val="18"/>
          <w:szCs w:val="18"/>
        </w:rPr>
        <w:t>/p-2</w:t>
      </w:r>
    </w:p>
    <w:p w:rsidR="00C508E9" w:rsidRPr="00F732E4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F732E4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F732E4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F732E4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F732E4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F732E4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853AAC">
        <w:rPr>
          <w:rFonts w:ascii="Calibri" w:eastAsia="Times New Roman" w:hAnsi="Calibri"/>
          <w:b/>
          <w:sz w:val="18"/>
          <w:szCs w:val="18"/>
          <w:lang w:eastAsia="pl-PL"/>
        </w:rPr>
        <w:t>dostawę wyrobów medycznych  – 2</w:t>
      </w:r>
      <w:r w:rsidR="00AB35A5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853AAC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AB35A5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A1F46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F732E4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F732E4">
        <w:rPr>
          <w:rFonts w:ascii="Calibri" w:eastAsia="Times New Roman" w:hAnsi="Calibri" w:cs="Arial"/>
          <w:b/>
          <w:sz w:val="18"/>
          <w:szCs w:val="18"/>
        </w:rPr>
        <w:t>2/</w:t>
      </w:r>
      <w:r w:rsidR="00853AAC">
        <w:rPr>
          <w:rFonts w:ascii="Calibri" w:eastAsia="Times New Roman" w:hAnsi="Calibri" w:cs="Arial"/>
          <w:b/>
          <w:sz w:val="18"/>
          <w:szCs w:val="18"/>
        </w:rPr>
        <w:t>120</w:t>
      </w:r>
      <w:r w:rsidR="00C508E9" w:rsidRPr="00F732E4">
        <w:rPr>
          <w:rFonts w:ascii="Calibri" w:eastAsia="Times New Roman" w:hAnsi="Calibri" w:cs="Arial"/>
          <w:b/>
          <w:sz w:val="18"/>
          <w:szCs w:val="18"/>
        </w:rPr>
        <w:t>/2016</w:t>
      </w:r>
      <w:r w:rsidR="00C26E9A">
        <w:rPr>
          <w:rFonts w:ascii="Calibri" w:eastAsia="Times New Roman" w:hAnsi="Calibri" w:cs="Arial"/>
          <w:b/>
          <w:sz w:val="18"/>
          <w:szCs w:val="18"/>
        </w:rPr>
        <w:t xml:space="preserve"> pismo 2</w:t>
      </w: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B5FAE" w:rsidRPr="00F732E4" w:rsidRDefault="009B5FAE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C94C6D" w:rsidRDefault="00853AAC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        </w:t>
      </w:r>
      <w:r w:rsidR="00C94C6D">
        <w:rPr>
          <w:rFonts w:ascii="Calibri" w:hAnsi="Calibri"/>
          <w:sz w:val="18"/>
          <w:szCs w:val="18"/>
          <w:lang w:val="pl-PL"/>
        </w:rPr>
        <w:t>W związku z zadanymi pytaniami Zamawiający wyjaśnia:</w:t>
      </w:r>
    </w:p>
    <w:p w:rsidR="00853AAC" w:rsidRPr="00853AAC" w:rsidRDefault="00853AAC" w:rsidP="00853AAC">
      <w:pPr>
        <w:pStyle w:val="Tekstpodstawowywcity2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Calibri" w:hAnsi="Calibri"/>
          <w:b/>
          <w:bCs/>
          <w:iCs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Czy Zamawiający w rozdziale VII pkt. 3 SIWZ zmieni termin z „24 godzin” na „2 dni robocze”?</w:t>
      </w:r>
    </w:p>
    <w:p w:rsidR="00853AAC" w:rsidRDefault="00853AAC" w:rsidP="00853AAC">
      <w:pPr>
        <w:pStyle w:val="Tekstpodstawowy21"/>
        <w:ind w:left="709"/>
        <w:rPr>
          <w:rFonts w:ascii="Calibri" w:hAnsi="Calibri"/>
          <w:sz w:val="18"/>
          <w:szCs w:val="18"/>
        </w:rPr>
      </w:pPr>
      <w:r w:rsidRPr="00853AAC">
        <w:rPr>
          <w:rFonts w:ascii="Calibri" w:hAnsi="Calibri"/>
          <w:sz w:val="18"/>
          <w:szCs w:val="18"/>
        </w:rPr>
        <w:t>Z uwagi na odległość pomiędzy siedzibą Wykonawcy a Zamawiającego termin dostawy wyznaczony w godzinach jest dla Wykonawcy niekorzystny, ponieważ w sytuacji gdy zgłoszenie wpłynie w piątek pod koniec dnia pracy  Wykonawca nie będzie w stanie zrealizować zgłoszenia na czas.</w:t>
      </w:r>
    </w:p>
    <w:p w:rsidR="00853AAC" w:rsidRPr="00853AAC" w:rsidRDefault="00853AAC" w:rsidP="00853AAC">
      <w:pPr>
        <w:pStyle w:val="Tekstpodstawowy21"/>
        <w:ind w:left="709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853AAC" w:rsidRPr="00853AAC" w:rsidRDefault="00853AAC" w:rsidP="00853AAC">
      <w:pPr>
        <w:pStyle w:val="Tekstpodstawowy21"/>
        <w:ind w:left="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Zamawiający wyraża zgodę </w:t>
      </w:r>
    </w:p>
    <w:p w:rsidR="00853AAC" w:rsidRPr="00853AAC" w:rsidRDefault="00853AAC" w:rsidP="00853AAC">
      <w:pPr>
        <w:pStyle w:val="Tekstpodstawowy21"/>
        <w:numPr>
          <w:ilvl w:val="0"/>
          <w:numId w:val="21"/>
        </w:numPr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Rozdział XIX pkt. 2 SIWZ oraz formularz oferty  pkt. 2-</w:t>
      </w:r>
      <w:r w:rsidRPr="00853AAC">
        <w:rPr>
          <w:rFonts w:ascii="Calibri" w:hAnsi="Calibri"/>
          <w:sz w:val="18"/>
          <w:szCs w:val="18"/>
        </w:rPr>
        <w:t>W związku z tym, iż Wykonawca posiada wybór co do utworzenia bądź nie utworzenia depozytu oferowanego asortymentu u Zamawiającego,  zwracamy się z prośbą</w:t>
      </w:r>
      <w:r w:rsidRPr="00853AAC">
        <w:rPr>
          <w:rFonts w:ascii="Calibri" w:hAnsi="Calibri"/>
          <w:b/>
          <w:sz w:val="18"/>
          <w:szCs w:val="18"/>
        </w:rPr>
        <w:t xml:space="preserve"> </w:t>
      </w:r>
      <w:r w:rsidRPr="00853AAC">
        <w:rPr>
          <w:rFonts w:ascii="Calibri" w:hAnsi="Calibri"/>
          <w:sz w:val="18"/>
          <w:szCs w:val="18"/>
        </w:rPr>
        <w:t>w formularzu oferty w pkt. 2 o możliwość deklaracji „tworzenia /nie tworzenia składu depozytowego” z podziałem na pakiety zamiast jednej ogólnej deklaracji tworzenia bądź nie depozytu u Zamawiającego.</w:t>
      </w:r>
    </w:p>
    <w:p w:rsidR="00853AAC" w:rsidRPr="00853AAC" w:rsidRDefault="00853AAC" w:rsidP="00853AAC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853AAC" w:rsidRPr="00C26E9A" w:rsidRDefault="004F22F6" w:rsidP="00706587">
      <w:pPr>
        <w:pStyle w:val="Tekstpodstawowy21"/>
        <w:ind w:left="708" w:firstLine="2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Zamawiający poprawia formularz ofertowy w punkcie 2.W załączeniu nowy formularz ofertowy i wzór umowy dla Wykonawców, którzy nie wyrażą zgody na utworzenie składu depozytowego. </w:t>
      </w:r>
    </w:p>
    <w:p w:rsidR="00853AAC" w:rsidRPr="00853AAC" w:rsidRDefault="00853AAC" w:rsidP="00706587">
      <w:pPr>
        <w:pStyle w:val="Tekstpodstawowy21"/>
        <w:ind w:firstLine="36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 xml:space="preserve">Grupa 1 </w:t>
      </w:r>
    </w:p>
    <w:p w:rsidR="00853AAC" w:rsidRDefault="00853AAC" w:rsidP="00853AAC">
      <w:pPr>
        <w:numPr>
          <w:ilvl w:val="0"/>
          <w:numId w:val="23"/>
        </w:numPr>
        <w:tabs>
          <w:tab w:val="left" w:pos="709"/>
          <w:tab w:val="left" w:pos="5917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53AAC">
        <w:rPr>
          <w:rFonts w:ascii="Calibri" w:hAnsi="Calibri"/>
          <w:sz w:val="18"/>
          <w:szCs w:val="18"/>
        </w:rPr>
        <w:t>Czy nie nastąpiła omyłka pisarska w postaci błędnej nazwy określającej część 1 z uwagi na to, iż stabilizacja piersiowo-lędźwiowa nie jest przedmiotem zamówienia tylko płytki blokowane?</w:t>
      </w:r>
    </w:p>
    <w:p w:rsidR="001E2319" w:rsidRPr="00853AAC" w:rsidRDefault="001E2319" w:rsidP="001E2319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C26E9A" w:rsidRPr="00853AAC" w:rsidRDefault="001E2319" w:rsidP="00A97A85">
      <w:pPr>
        <w:pStyle w:val="Tekstpodstawowy21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</w:t>
      </w:r>
      <w:r w:rsidR="004F22F6">
        <w:rPr>
          <w:rFonts w:ascii="Calibri" w:hAnsi="Calibri"/>
          <w:sz w:val="18"/>
          <w:szCs w:val="18"/>
        </w:rPr>
        <w:t xml:space="preserve">Tak. Nastąpiła omyłka pisarska.  </w:t>
      </w:r>
    </w:p>
    <w:p w:rsidR="00853AAC" w:rsidRPr="001E2319" w:rsidRDefault="00853AAC" w:rsidP="00853AAC">
      <w:pPr>
        <w:numPr>
          <w:ilvl w:val="0"/>
          <w:numId w:val="23"/>
        </w:numPr>
        <w:tabs>
          <w:tab w:val="left" w:pos="709"/>
          <w:tab w:val="left" w:pos="5917"/>
        </w:tabs>
        <w:spacing w:after="0" w:line="24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853AAC">
        <w:rPr>
          <w:rFonts w:ascii="Calibri" w:hAnsi="Calibri"/>
          <w:sz w:val="18"/>
          <w:szCs w:val="18"/>
        </w:rPr>
        <w:t>Czy Zamawiający w poz. nr 15 dopuści płytkę kształtową blokowaną do bliższej nasady kości piszczelowej zakładanej od strony bocznej posiadającą w części trzonowej od 3 do 8 rozdzielnych otworów blokowanych w tym 1 kompresyjny zamiast par otworów.</w:t>
      </w:r>
    </w:p>
    <w:p w:rsidR="001E2319" w:rsidRDefault="001E2319" w:rsidP="001E2319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1E2319" w:rsidRPr="00A97A85" w:rsidRDefault="001E2319" w:rsidP="00A97A85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dopuszcza  również</w:t>
      </w:r>
    </w:p>
    <w:p w:rsidR="00853AAC" w:rsidRPr="001E2319" w:rsidRDefault="00853AAC" w:rsidP="00853AAC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Calibri" w:hAnsi="Calibri"/>
          <w:bCs/>
          <w:iCs/>
          <w:sz w:val="18"/>
          <w:szCs w:val="18"/>
        </w:rPr>
      </w:pPr>
      <w:r w:rsidRPr="00853AAC">
        <w:rPr>
          <w:rFonts w:ascii="Calibri" w:hAnsi="Calibri"/>
          <w:sz w:val="18"/>
          <w:szCs w:val="18"/>
        </w:rPr>
        <w:t>Czy Zamawiający w poz. nr 17 dopuści płytkę kształtową szeroką L blokowaną do bliższej nasady kości piszczelowej posiadającą w części trzonowej od 4 do 10 rozdzielnych otworów blokowanych w tym 1 kompresyjny zamiast par otworów.</w:t>
      </w:r>
    </w:p>
    <w:p w:rsidR="001E2319" w:rsidRDefault="001E2319" w:rsidP="001E2319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1E2319" w:rsidRPr="004F22F6" w:rsidRDefault="001E2319" w:rsidP="004F22F6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dopuszcza  również</w:t>
      </w:r>
    </w:p>
    <w:p w:rsidR="00853AAC" w:rsidRPr="00853AAC" w:rsidRDefault="00853AAC" w:rsidP="00853AAC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Calibri" w:hAnsi="Calibri"/>
          <w:bCs/>
          <w:iCs/>
          <w:sz w:val="18"/>
          <w:szCs w:val="18"/>
        </w:rPr>
      </w:pPr>
      <w:r w:rsidRPr="00853AAC">
        <w:rPr>
          <w:rFonts w:ascii="Calibri" w:hAnsi="Calibri"/>
          <w:sz w:val="18"/>
          <w:szCs w:val="18"/>
        </w:rPr>
        <w:t>Czy Zamawiający w poz. nr 18 dopuści płytkę kształtową blokowaną kłykciową piszczelową bliższą boczną posiadającą w części trzonowej od 4 do 8 rozdzielnych otworów blokowanych w tym 1 kompresyjny zamiast par otworów.</w:t>
      </w:r>
    </w:p>
    <w:p w:rsidR="004F22F6" w:rsidRDefault="004F22F6" w:rsidP="004F22F6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4F22F6" w:rsidRPr="004F22F6" w:rsidRDefault="004F22F6" w:rsidP="004F22F6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dopuszcza  również</w:t>
      </w:r>
    </w:p>
    <w:p w:rsidR="00853AAC" w:rsidRPr="00853AAC" w:rsidRDefault="00853AAC" w:rsidP="004F22F6">
      <w:pPr>
        <w:pStyle w:val="Tekstpodstawowy21"/>
        <w:ind w:left="708"/>
        <w:rPr>
          <w:rFonts w:ascii="Calibri" w:hAnsi="Calibri"/>
          <w:b/>
          <w:sz w:val="18"/>
          <w:szCs w:val="18"/>
        </w:rPr>
      </w:pPr>
    </w:p>
    <w:p w:rsidR="00853AAC" w:rsidRPr="00B40DF9" w:rsidRDefault="00853AAC" w:rsidP="00853AAC">
      <w:pPr>
        <w:pStyle w:val="Tekstpodstawowy21"/>
        <w:rPr>
          <w:rFonts w:ascii="Calibri" w:hAnsi="Calibri"/>
          <w:sz w:val="18"/>
          <w:szCs w:val="18"/>
        </w:rPr>
      </w:pPr>
      <w:r w:rsidRPr="00B40DF9">
        <w:rPr>
          <w:rFonts w:ascii="Calibri" w:hAnsi="Calibri"/>
          <w:sz w:val="18"/>
          <w:szCs w:val="18"/>
        </w:rPr>
        <w:t>Grupa 2 –Zapis pod formularzem cenowym i w formularzu oferty</w:t>
      </w:r>
    </w:p>
    <w:p w:rsidR="00853AAC" w:rsidRPr="004F22F6" w:rsidRDefault="00853AAC" w:rsidP="00853AA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B40DF9">
        <w:rPr>
          <w:rFonts w:ascii="Calibri" w:hAnsi="Calibri"/>
          <w:sz w:val="18"/>
          <w:szCs w:val="18"/>
        </w:rPr>
        <w:t>Czy Zamawiający</w:t>
      </w:r>
      <w:r w:rsidRPr="00B40DF9">
        <w:rPr>
          <w:rFonts w:ascii="Calibri" w:hAnsi="Calibri"/>
          <w:bCs/>
          <w:iCs/>
          <w:sz w:val="18"/>
          <w:szCs w:val="18"/>
        </w:rPr>
        <w:t xml:space="preserve"> </w:t>
      </w:r>
      <w:r w:rsidRPr="00B40DF9">
        <w:rPr>
          <w:rFonts w:ascii="Calibri" w:hAnsi="Calibri"/>
          <w:sz w:val="18"/>
          <w:szCs w:val="18"/>
        </w:rPr>
        <w:t>w zapisie pod formularzem cenowym i w formularzu oferty</w:t>
      </w:r>
      <w:r w:rsidRPr="00B40DF9">
        <w:rPr>
          <w:rFonts w:ascii="Calibri" w:hAnsi="Calibri"/>
          <w:bCs/>
          <w:iCs/>
          <w:sz w:val="18"/>
          <w:szCs w:val="18"/>
        </w:rPr>
        <w:t xml:space="preserve"> w pkt. 8 wyrazi zgodę na odstąpienie od udostępnienia </w:t>
      </w:r>
      <w:r w:rsidRPr="00B40DF9">
        <w:rPr>
          <w:rFonts w:ascii="Calibri" w:hAnsi="Calibri"/>
          <w:sz w:val="18"/>
          <w:szCs w:val="18"/>
        </w:rPr>
        <w:t>instrumentarium na czas trwania umowy w odniesieniu do implantów drobnych z grupy 2 tj. płytki zwykłe, śruby kaniulowane.</w:t>
      </w:r>
      <w:r w:rsidRPr="00853AAC">
        <w:rPr>
          <w:rFonts w:ascii="Calibri" w:hAnsi="Calibri"/>
          <w:b/>
          <w:sz w:val="18"/>
          <w:szCs w:val="18"/>
        </w:rPr>
        <w:t xml:space="preserve"> </w:t>
      </w:r>
      <w:r w:rsidRPr="00853AAC">
        <w:rPr>
          <w:rFonts w:ascii="Calibri" w:hAnsi="Calibri"/>
          <w:sz w:val="18"/>
          <w:szCs w:val="18"/>
        </w:rPr>
        <w:t>Wyroby te z uwagi na powszechność stosowania nie wymagają specjalistycznych instrumentariów do ich założenia.</w:t>
      </w:r>
    </w:p>
    <w:p w:rsidR="004F22F6" w:rsidRDefault="004F22F6" w:rsidP="004F22F6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Odpowiedź:</w:t>
      </w:r>
    </w:p>
    <w:p w:rsidR="004F22F6" w:rsidRPr="00B40DF9" w:rsidRDefault="004F22F6" w:rsidP="004F22F6">
      <w:pPr>
        <w:pStyle w:val="Tekstpodstawowy21"/>
        <w:ind w:left="720"/>
        <w:rPr>
          <w:rFonts w:ascii="Calibri" w:hAnsi="Calibri"/>
          <w:b/>
          <w:sz w:val="18"/>
          <w:szCs w:val="18"/>
        </w:rPr>
      </w:pPr>
      <w:r w:rsidRPr="00B40DF9">
        <w:rPr>
          <w:rFonts w:ascii="Calibri" w:hAnsi="Calibri"/>
          <w:b/>
          <w:sz w:val="18"/>
          <w:szCs w:val="18"/>
        </w:rPr>
        <w:t>Zamawiający odstępuje od udostępnienia  instrumentarium na czas trwania umowy w odniesieniu do implantów z grupy 2.</w:t>
      </w:r>
    </w:p>
    <w:p w:rsidR="00853AAC" w:rsidRPr="00853AAC" w:rsidRDefault="00853AAC" w:rsidP="00D83B24">
      <w:pPr>
        <w:pStyle w:val="Tekstpodstawowy21"/>
        <w:rPr>
          <w:rFonts w:ascii="Calibri" w:hAnsi="Calibri"/>
          <w:b/>
          <w:sz w:val="18"/>
          <w:szCs w:val="18"/>
        </w:rPr>
      </w:pPr>
    </w:p>
    <w:p w:rsidR="00853AAC" w:rsidRPr="00853AAC" w:rsidRDefault="00853AAC" w:rsidP="00853AAC">
      <w:pPr>
        <w:pStyle w:val="Tekstpodstawowy21"/>
        <w:ind w:left="360"/>
        <w:rPr>
          <w:rFonts w:ascii="Calibri" w:hAnsi="Calibri"/>
          <w:b/>
          <w:sz w:val="18"/>
          <w:szCs w:val="18"/>
        </w:rPr>
      </w:pPr>
      <w:r w:rsidRPr="00853AAC">
        <w:rPr>
          <w:rFonts w:ascii="Calibri" w:hAnsi="Calibri"/>
          <w:b/>
          <w:sz w:val="18"/>
          <w:szCs w:val="18"/>
        </w:rPr>
        <w:t>Zapytania do w/w postępowania, dotyczące zapisów umowy - dotyczy grupy 1 i 2:</w:t>
      </w:r>
    </w:p>
    <w:p w:rsidR="00853AAC" w:rsidRPr="00853AAC" w:rsidRDefault="00853AAC" w:rsidP="00853AAC">
      <w:pPr>
        <w:pStyle w:val="Tekstpodstawowy21"/>
        <w:ind w:left="360"/>
        <w:rPr>
          <w:rFonts w:ascii="Calibri" w:hAnsi="Calibri"/>
          <w:b/>
          <w:sz w:val="18"/>
          <w:szCs w:val="18"/>
        </w:rPr>
      </w:pPr>
    </w:p>
    <w:p w:rsidR="00853AAC" w:rsidRPr="00B40DF9" w:rsidRDefault="00853AAC" w:rsidP="00B40DF9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B40DF9">
        <w:rPr>
          <w:rFonts w:ascii="Calibri" w:hAnsi="Calibri"/>
          <w:bCs/>
          <w:iCs/>
          <w:sz w:val="18"/>
          <w:szCs w:val="18"/>
        </w:rPr>
        <w:t>Czy Zamawiający w §4 dookreśli w zw. z §2 ust. 3 i nast., iż w przypadku zamówień na towary nie oddane w depozyt faktura może być wystawiana na bieżąco zgodnie z przesłanym zamówieniem bez konieczności wykonywania dodatkowych zestawień?</w:t>
      </w:r>
    </w:p>
    <w:p w:rsidR="0033700F" w:rsidRDefault="0033700F" w:rsidP="0033700F">
      <w:pPr>
        <w:pStyle w:val="Tekstpodstawowywcity2"/>
        <w:spacing w:after="0" w:line="240" w:lineRule="auto"/>
        <w:ind w:left="720"/>
        <w:jc w:val="both"/>
        <w:rPr>
          <w:rFonts w:ascii="Calibri" w:hAnsi="Calibri"/>
          <w:b/>
          <w:bCs/>
          <w:iCs/>
          <w:sz w:val="18"/>
          <w:szCs w:val="18"/>
        </w:rPr>
      </w:pPr>
      <w:r>
        <w:rPr>
          <w:rFonts w:ascii="Calibri" w:hAnsi="Calibri"/>
          <w:b/>
          <w:bCs/>
          <w:iCs/>
          <w:sz w:val="18"/>
          <w:szCs w:val="18"/>
        </w:rPr>
        <w:t>Odpowiedź:</w:t>
      </w:r>
    </w:p>
    <w:p w:rsidR="00F50B97" w:rsidRPr="00B40DF9" w:rsidRDefault="00F50B97" w:rsidP="00B40DF9">
      <w:pPr>
        <w:pStyle w:val="Tekstpodstawowywcity2"/>
        <w:spacing w:after="0" w:line="240" w:lineRule="auto"/>
        <w:jc w:val="both"/>
        <w:rPr>
          <w:rFonts w:ascii="Calibri" w:hAnsi="Calibri"/>
          <w:b/>
          <w:bCs/>
          <w:iCs/>
          <w:sz w:val="18"/>
          <w:szCs w:val="18"/>
        </w:rPr>
      </w:pPr>
      <w:r w:rsidRPr="00B40DF9">
        <w:rPr>
          <w:rFonts w:ascii="Calibri" w:hAnsi="Calibri"/>
          <w:b/>
          <w:bCs/>
          <w:iCs/>
          <w:sz w:val="18"/>
          <w:szCs w:val="18"/>
        </w:rPr>
        <w:t xml:space="preserve"> D</w:t>
      </w:r>
      <w:r w:rsidR="0033700F" w:rsidRPr="00B40DF9">
        <w:rPr>
          <w:rFonts w:ascii="Calibri" w:hAnsi="Calibri"/>
          <w:b/>
          <w:bCs/>
          <w:iCs/>
          <w:sz w:val="18"/>
          <w:szCs w:val="18"/>
        </w:rPr>
        <w:t>la Wykonawców odstępujących</w:t>
      </w:r>
      <w:r w:rsidR="00A97A85" w:rsidRPr="00B40DF9">
        <w:rPr>
          <w:rFonts w:ascii="Calibri" w:hAnsi="Calibri"/>
          <w:b/>
          <w:bCs/>
          <w:iCs/>
          <w:sz w:val="18"/>
          <w:szCs w:val="18"/>
        </w:rPr>
        <w:t xml:space="preserve"> od tworzenia sk</w:t>
      </w:r>
      <w:r w:rsidRPr="00B40DF9">
        <w:rPr>
          <w:rFonts w:ascii="Calibri" w:hAnsi="Calibri"/>
          <w:b/>
          <w:bCs/>
          <w:iCs/>
          <w:sz w:val="18"/>
          <w:szCs w:val="18"/>
        </w:rPr>
        <w:t xml:space="preserve">ładu depozytowego  Zamawiający  dołącza nowy dodatkowy  </w:t>
      </w:r>
      <w:bookmarkStart w:id="0" w:name="_GoBack"/>
      <w:bookmarkEnd w:id="0"/>
      <w:r w:rsidRPr="00B40DF9">
        <w:rPr>
          <w:rFonts w:ascii="Calibri" w:hAnsi="Calibri"/>
          <w:b/>
          <w:bCs/>
          <w:iCs/>
          <w:sz w:val="18"/>
          <w:szCs w:val="18"/>
        </w:rPr>
        <w:t>formularz</w:t>
      </w:r>
      <w:r w:rsidR="000F0A7B">
        <w:rPr>
          <w:rFonts w:ascii="Calibri" w:hAnsi="Calibri"/>
          <w:b/>
          <w:bCs/>
          <w:iCs/>
          <w:sz w:val="18"/>
          <w:szCs w:val="18"/>
        </w:rPr>
        <w:t xml:space="preserve">: </w:t>
      </w:r>
      <w:r w:rsidRPr="00B40DF9">
        <w:rPr>
          <w:rFonts w:ascii="Calibri" w:hAnsi="Calibri"/>
          <w:b/>
          <w:bCs/>
          <w:iCs/>
          <w:sz w:val="18"/>
          <w:szCs w:val="18"/>
        </w:rPr>
        <w:t>Istotne Postanowienia Umowy.</w:t>
      </w:r>
    </w:p>
    <w:p w:rsidR="00D83B24" w:rsidRPr="00853AAC" w:rsidRDefault="00D83B24" w:rsidP="00D83B24">
      <w:pPr>
        <w:pStyle w:val="Tekstpodstawowywcity2"/>
        <w:spacing w:after="0" w:line="240" w:lineRule="auto"/>
        <w:ind w:left="720"/>
        <w:jc w:val="both"/>
        <w:rPr>
          <w:rFonts w:ascii="Calibri" w:hAnsi="Calibri"/>
          <w:b/>
          <w:bCs/>
          <w:iCs/>
          <w:sz w:val="18"/>
          <w:szCs w:val="18"/>
        </w:rPr>
      </w:pPr>
    </w:p>
    <w:p w:rsidR="00853AAC" w:rsidRPr="00B40DF9" w:rsidRDefault="00853AAC" w:rsidP="00B40DF9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B40DF9">
        <w:rPr>
          <w:rFonts w:ascii="Calibri" w:hAnsi="Calibri"/>
          <w:sz w:val="18"/>
          <w:szCs w:val="18"/>
        </w:rPr>
        <w:lastRenderedPageBreak/>
        <w:t>Czy Zamawiający dookreśli w §3 ust. 4, iż termin załatwienia reklamacji będzie liczony od dnia przesłania pisma reklamacyjnego wraz z reklamowanym towarem?</w:t>
      </w:r>
    </w:p>
    <w:p w:rsidR="00B40DF9" w:rsidRPr="00B40DF9" w:rsidRDefault="00B40DF9" w:rsidP="00B40DF9">
      <w:pPr>
        <w:pStyle w:val="Akapitzlist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B40DF9">
        <w:rPr>
          <w:rFonts w:cs="Arial"/>
          <w:b/>
          <w:bCs/>
          <w:sz w:val="18"/>
          <w:szCs w:val="18"/>
        </w:rPr>
        <w:t>Odpowiedź:</w:t>
      </w:r>
    </w:p>
    <w:p w:rsidR="00B40DF9" w:rsidRPr="00B40DF9" w:rsidRDefault="00B40DF9" w:rsidP="00B40DF9">
      <w:pPr>
        <w:pStyle w:val="Akapitzlist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B40DF9">
        <w:rPr>
          <w:rFonts w:cs="Arial"/>
          <w:b/>
          <w:bCs/>
          <w:sz w:val="18"/>
          <w:szCs w:val="18"/>
        </w:rPr>
        <w:t>Zamawiający podtrzymuje zapisy SIWZ</w:t>
      </w:r>
    </w:p>
    <w:p w:rsidR="00B40DF9" w:rsidRPr="00853AAC" w:rsidRDefault="00B40DF9" w:rsidP="00B40DF9">
      <w:pPr>
        <w:pStyle w:val="Tekstpodstawowywcity2"/>
        <w:spacing w:after="0" w:line="240" w:lineRule="auto"/>
        <w:ind w:left="720"/>
        <w:jc w:val="both"/>
        <w:rPr>
          <w:rFonts w:ascii="Calibri" w:hAnsi="Calibri"/>
          <w:b/>
          <w:bCs/>
          <w:iCs/>
          <w:sz w:val="18"/>
          <w:szCs w:val="18"/>
        </w:rPr>
      </w:pPr>
    </w:p>
    <w:p w:rsidR="00853AAC" w:rsidRPr="00D83B24" w:rsidRDefault="00853AAC" w:rsidP="00B40DF9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D83B24">
        <w:rPr>
          <w:rFonts w:ascii="Calibri" w:hAnsi="Calibri"/>
          <w:sz w:val="18"/>
          <w:szCs w:val="18"/>
        </w:rPr>
        <w:t>Czy Zamawiający zmieni wysokość kar umownych określonych w §6 ust. 1:</w:t>
      </w:r>
    </w:p>
    <w:p w:rsidR="00853AAC" w:rsidRPr="00D83B24" w:rsidRDefault="00853AAC" w:rsidP="00853AAC">
      <w:pPr>
        <w:pStyle w:val="Tekstpodstawowywcity2"/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D83B24">
        <w:rPr>
          <w:rFonts w:ascii="Calibri" w:hAnsi="Calibri"/>
          <w:sz w:val="18"/>
          <w:szCs w:val="18"/>
        </w:rPr>
        <w:t>Lit B z 2% nie więcej niż 20% na 0,5% nie więcej niż 10%,</w:t>
      </w:r>
    </w:p>
    <w:p w:rsidR="00853AAC" w:rsidRPr="00D83B24" w:rsidRDefault="00853AAC" w:rsidP="00853AAC">
      <w:pPr>
        <w:pStyle w:val="Tekstpodstawowywcity2"/>
        <w:numPr>
          <w:ilvl w:val="1"/>
          <w:numId w:val="21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D83B24">
        <w:rPr>
          <w:rFonts w:ascii="Calibri" w:hAnsi="Calibri"/>
          <w:sz w:val="18"/>
          <w:szCs w:val="18"/>
        </w:rPr>
        <w:t>Lit C z 5% nie więcej niż 20% na 0,5% nie więcej niż 10%?</w:t>
      </w:r>
    </w:p>
    <w:p w:rsidR="00D83B24" w:rsidRPr="00D83B24" w:rsidRDefault="00D83B24" w:rsidP="00B40DF9">
      <w:pPr>
        <w:spacing w:after="0" w:line="240" w:lineRule="auto"/>
        <w:ind w:firstLine="708"/>
        <w:jc w:val="both"/>
        <w:rPr>
          <w:rFonts w:cs="Arial"/>
          <w:b/>
          <w:bCs/>
          <w:sz w:val="18"/>
          <w:szCs w:val="18"/>
        </w:rPr>
      </w:pPr>
      <w:r w:rsidRPr="00D83B24">
        <w:rPr>
          <w:rFonts w:cs="Arial"/>
          <w:b/>
          <w:bCs/>
          <w:sz w:val="18"/>
          <w:szCs w:val="18"/>
        </w:rPr>
        <w:t>Odpowiedź:</w:t>
      </w:r>
    </w:p>
    <w:p w:rsidR="00D83B24" w:rsidRPr="00D83B24" w:rsidRDefault="00D83B24" w:rsidP="00B40DF9">
      <w:pPr>
        <w:spacing w:after="0" w:line="240" w:lineRule="auto"/>
        <w:ind w:firstLine="708"/>
        <w:jc w:val="both"/>
        <w:rPr>
          <w:rFonts w:cs="Arial"/>
          <w:b/>
          <w:bCs/>
          <w:sz w:val="18"/>
          <w:szCs w:val="18"/>
        </w:rPr>
      </w:pPr>
      <w:r w:rsidRPr="00D83B24">
        <w:rPr>
          <w:rFonts w:cs="Arial"/>
          <w:b/>
          <w:bCs/>
          <w:sz w:val="18"/>
          <w:szCs w:val="18"/>
        </w:rPr>
        <w:t>Zamawiający podtrzymuje zapisy SIWZ</w:t>
      </w:r>
    </w:p>
    <w:p w:rsidR="00D83B24" w:rsidRPr="00D83B24" w:rsidRDefault="00D83B24" w:rsidP="00D83B24">
      <w:pPr>
        <w:pStyle w:val="Tekstpodstawowywcity2"/>
        <w:spacing w:after="0" w:line="240" w:lineRule="auto"/>
        <w:ind w:left="0"/>
        <w:jc w:val="both"/>
        <w:rPr>
          <w:rFonts w:ascii="Calibri" w:hAnsi="Calibri"/>
          <w:bCs/>
          <w:iCs/>
          <w:sz w:val="18"/>
          <w:szCs w:val="18"/>
        </w:rPr>
      </w:pPr>
    </w:p>
    <w:p w:rsidR="00853AAC" w:rsidRPr="00D83B24" w:rsidRDefault="00853AAC" w:rsidP="00B40DF9">
      <w:pPr>
        <w:pStyle w:val="Tekstpodstawowywcity2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Cs/>
          <w:iCs/>
          <w:sz w:val="18"/>
          <w:szCs w:val="18"/>
        </w:rPr>
      </w:pPr>
      <w:r w:rsidRPr="00D83B24">
        <w:rPr>
          <w:rFonts w:ascii="Calibri" w:hAnsi="Calibri"/>
          <w:sz w:val="18"/>
          <w:szCs w:val="18"/>
        </w:rPr>
        <w:t>Czy Zamawiający doda zapis w §11 ust. 4, że odstąpienie od umowy przez Zamawiającego będzie poprzedzone wezwaniem Wykonawcy do realizowania umowy zgodnie z zawartymi w umowie postanowieniami?</w:t>
      </w:r>
    </w:p>
    <w:p w:rsidR="00C94C6D" w:rsidRDefault="00C94C6D" w:rsidP="00B40DF9">
      <w:pPr>
        <w:spacing w:after="0" w:line="240" w:lineRule="auto"/>
        <w:ind w:firstLine="708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Odpowiedź:</w:t>
      </w:r>
    </w:p>
    <w:p w:rsidR="00D83B24" w:rsidRDefault="00D83B24" w:rsidP="00B40DF9">
      <w:pPr>
        <w:spacing w:after="0" w:line="240" w:lineRule="auto"/>
        <w:ind w:firstLine="708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Zamawiający podtrzymuje zapisy SIWZ</w:t>
      </w:r>
    </w:p>
    <w:p w:rsidR="00D83B24" w:rsidRPr="00DC044C" w:rsidRDefault="00D83B24" w:rsidP="00DC044C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:rsidR="00FC26F7" w:rsidRDefault="00FC26F7" w:rsidP="00D83B24">
      <w:pPr>
        <w:spacing w:after="0" w:line="240" w:lineRule="auto"/>
        <w:ind w:firstLine="708"/>
        <w:jc w:val="both"/>
        <w:rPr>
          <w:rFonts w:ascii="Calibri" w:hAnsi="Calibri" w:cs="Arial"/>
          <w:color w:val="333333"/>
          <w:sz w:val="18"/>
          <w:szCs w:val="18"/>
        </w:rPr>
      </w:pPr>
      <w:r>
        <w:rPr>
          <w:rFonts w:ascii="Calibri" w:hAnsi="Calibri" w:cs="Arial"/>
          <w:color w:val="333333"/>
          <w:sz w:val="18"/>
          <w:szCs w:val="18"/>
        </w:rPr>
        <w:t>Ponadto Zamawiający poprawia zapisy na stronie 2 SIWZ.</w:t>
      </w:r>
    </w:p>
    <w:p w:rsidR="00FC26F7" w:rsidRPr="00FC26F7" w:rsidRDefault="00FC26F7" w:rsidP="00B40DF9">
      <w:pPr>
        <w:spacing w:after="0" w:line="240" w:lineRule="auto"/>
        <w:ind w:left="708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FC26F7">
        <w:rPr>
          <w:rFonts w:ascii="Calibri" w:hAnsi="Calibri"/>
          <w:b/>
          <w:sz w:val="18"/>
          <w:szCs w:val="18"/>
        </w:rPr>
        <w:t>Napisane jest:</w:t>
      </w:r>
    </w:p>
    <w:p w:rsidR="00FC26F7" w:rsidRPr="003D43D8" w:rsidRDefault="00FC26F7" w:rsidP="00B40DF9">
      <w:pPr>
        <w:pStyle w:val="Domyolnie"/>
        <w:ind w:left="708" w:firstLine="0"/>
        <w:jc w:val="both"/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b/>
          <w:color w:val="auto"/>
          <w:sz w:val="16"/>
          <w:szCs w:val="16"/>
        </w:rPr>
        <w:t xml:space="preserve">IX. </w:t>
      </w:r>
      <w:r w:rsidRPr="003D43D8">
        <w:rPr>
          <w:rFonts w:ascii="Calibri" w:hAnsi="Calibri"/>
          <w:b/>
          <w:color w:val="auto"/>
          <w:sz w:val="16"/>
          <w:szCs w:val="16"/>
        </w:rPr>
        <w:t>WYKAZ OŚWIADCZEŃ LUB DOKUMENTÓW, POTWIERDZAJĄCYCH SPEŁNIANIE WARUNKÓW UDZIAŁU W POSTĘPOWANIU ORAZ BRAK PODSTAW WYKLUCZENIA</w:t>
      </w:r>
    </w:p>
    <w:p w:rsidR="00FC26F7" w:rsidRPr="003D43D8" w:rsidRDefault="00FC26F7" w:rsidP="00FC26F7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Do oferty każdy wykonawca musi dołączyć aktualne na dzień składania ofert oświadczenie w zakresie wskazanym w załączniku nr 4 </w:t>
      </w:r>
      <w:r>
        <w:rPr>
          <w:rFonts w:ascii="Calibri" w:hAnsi="Calibri"/>
          <w:sz w:val="16"/>
          <w:szCs w:val="16"/>
        </w:rPr>
        <w:t xml:space="preserve">(Jednolity Europejski Dokument Zamówienia) </w:t>
      </w:r>
      <w:r w:rsidRPr="003D43D8">
        <w:rPr>
          <w:rFonts w:ascii="Calibri" w:hAnsi="Calibri"/>
          <w:sz w:val="16"/>
          <w:szCs w:val="16"/>
        </w:rPr>
        <w:t>do specyfikacji.</w:t>
      </w:r>
    </w:p>
    <w:p w:rsidR="00FC26F7" w:rsidRPr="00DC3C38" w:rsidRDefault="00FC26F7" w:rsidP="00FC26F7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W przypadku wspólnego ubiegania się o zamówienie przez wykonawców oświadczenie, o którym mowa w punkcie 1 specyfikacji składa każdy z wykonawców wspólnie ubiegających się o zamówienie. Oświadczenie to ma potwierdzać spełnianie warunków udziału w postępowaniu </w:t>
      </w:r>
      <w:r>
        <w:rPr>
          <w:rFonts w:ascii="Calibri" w:hAnsi="Calibri"/>
          <w:sz w:val="16"/>
          <w:szCs w:val="16"/>
        </w:rPr>
        <w:t xml:space="preserve">oraz brak podstaw wykluczenia </w:t>
      </w:r>
      <w:r w:rsidRPr="003D43D8">
        <w:rPr>
          <w:rFonts w:ascii="Calibri" w:hAnsi="Calibri"/>
          <w:sz w:val="16"/>
          <w:szCs w:val="16"/>
        </w:rPr>
        <w:t xml:space="preserve">w zakresie, w którym każdy z </w:t>
      </w:r>
      <w:r w:rsidRPr="00DC3C38">
        <w:rPr>
          <w:rFonts w:ascii="Calibri" w:hAnsi="Calibri"/>
          <w:sz w:val="16"/>
          <w:szCs w:val="16"/>
        </w:rPr>
        <w:t>wykonawców wykazuje spełnianie warunków udziału w postępowaniu oraz brak podstaw wykluczenia.</w:t>
      </w:r>
    </w:p>
    <w:p w:rsidR="00FC26F7" w:rsidRPr="00DC3C38" w:rsidRDefault="00FC26F7" w:rsidP="00FC26F7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C3C38">
        <w:rPr>
          <w:rFonts w:ascii="Calibri" w:hAnsi="Calibri"/>
          <w:sz w:val="16"/>
          <w:szCs w:val="16"/>
        </w:rPr>
        <w:t xml:space="preserve">Zamawiający </w:t>
      </w:r>
      <w:r w:rsidRPr="00D866B7">
        <w:rPr>
          <w:rFonts w:ascii="Calibri" w:hAnsi="Calibri"/>
          <w:color w:val="000000"/>
          <w:sz w:val="16"/>
          <w:szCs w:val="16"/>
        </w:rPr>
        <w:t>nie wymaga</w:t>
      </w:r>
      <w:r w:rsidRPr="00DC3C38">
        <w:rPr>
          <w:rFonts w:ascii="Calibri" w:hAnsi="Calibri"/>
          <w:sz w:val="16"/>
          <w:szCs w:val="16"/>
        </w:rPr>
        <w:t xml:space="preserve"> zamieszczenia informacji o podwykonawcach w oświadczeniu, o którym mowa w punkcie 1 niniejszego rozdziału specyfikacji, w celu wykazania braku istnienia wobec nich podstaw wykluczenia z udziału w postępowaniu</w:t>
      </w:r>
      <w:r>
        <w:rPr>
          <w:rFonts w:ascii="Calibri" w:hAnsi="Calibri"/>
          <w:sz w:val="16"/>
          <w:szCs w:val="16"/>
        </w:rPr>
        <w:t>.</w:t>
      </w:r>
    </w:p>
    <w:p w:rsidR="00FC26F7" w:rsidRPr="003D43D8" w:rsidRDefault="00FC26F7" w:rsidP="00FC26F7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 żądanie Zamawiającego, W</w:t>
      </w:r>
      <w:r w:rsidRPr="003D43D8">
        <w:rPr>
          <w:rFonts w:ascii="Calibri" w:hAnsi="Calibri"/>
          <w:sz w:val="16"/>
          <w:szCs w:val="16"/>
        </w:rPr>
        <w:t>ykonawca, który zamierza powierzyć wykonanie części zamówienia podwykonawcom, w celu wykazania braku istnienia wobec nich podstaw wykluczenia z udziału w postępowaniu składa oświadczenie, o którym mowa w punkcie 1 specyfikacji, dotyczące każdego podwykonawcy.</w:t>
      </w:r>
    </w:p>
    <w:p w:rsidR="00FC26F7" w:rsidRDefault="00FC26F7" w:rsidP="00FC26F7">
      <w:pPr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Wykonawca, który powołuje się na zasoby innych podmiotów, w celu wykazania braku istnienia wobec nich podstaw wykluczenia oraz spełnienia w zakresie, w jakim powołuje się na ich zasoby, warunków udziału w postępowaniu składa także oświadczenie, o którym mowa w punkcie 1 specyfikacji, dotyczące tych podmiotów.</w:t>
      </w:r>
    </w:p>
    <w:p w:rsidR="00FC26F7" w:rsidRPr="0018266B" w:rsidRDefault="00FC26F7" w:rsidP="00D83B24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Informacje zawarte w oświadczeniu stanowią wstępne potwierdzenie, że wykonawca nie podlega wykluczeniu na podstawie art. 24 ust. 1. i 24 ust. 5 pkt. 1</w:t>
      </w:r>
    </w:p>
    <w:p w:rsidR="00FC26F7" w:rsidRPr="0018266B" w:rsidRDefault="00FC26F7" w:rsidP="00D83B24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Elektroniczne narzędzie do wypełniania JEDZ/ESPD (eESPD)</w:t>
      </w:r>
      <w:r>
        <w:rPr>
          <w:rFonts w:ascii="Calibri" w:eastAsia="Times New Roman" w:hAnsi="Calibri" w:cs="Arial"/>
          <w:sz w:val="16"/>
          <w:szCs w:val="16"/>
          <w:lang w:eastAsia="pl-PL"/>
        </w:rPr>
        <w:t>.</w:t>
      </w:r>
    </w:p>
    <w:p w:rsidR="00FC26F7" w:rsidRPr="0018266B" w:rsidRDefault="00FC26F7" w:rsidP="00D83B24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Informujemy, że pod adresem </w:t>
      </w:r>
      <w:hyperlink r:id="rId7" w:history="1">
        <w:r w:rsidRPr="0018266B">
          <w:rPr>
            <w:rStyle w:val="Hipercze"/>
            <w:rFonts w:ascii="Calibri" w:eastAsia="Times New Roman" w:hAnsi="Calibri" w:cs="Arial"/>
            <w:sz w:val="16"/>
            <w:szCs w:val="16"/>
            <w:lang w:eastAsia="pl-PL"/>
          </w:rPr>
          <w:t>http://ec.europa.eu/growth/espd</w:t>
        </w:r>
      </w:hyperlink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 Komisja Europejska udostępniła narzędzie umożliwiające zamawiającym i wykonawcom utworzenie, wypełnienie i ponowne wykorzystanie standardowego formularza Jednolitego Europejskiego Dokumentu Zamówienia w wersji elektronicznej.</w:t>
      </w:r>
    </w:p>
    <w:p w:rsidR="00FC26F7" w:rsidRDefault="00FC26F7" w:rsidP="00FC26F7">
      <w:pPr>
        <w:ind w:left="108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Zamawiający wypełnił dokument JEDZ stosownie do wymagań stawianych w specyfikacji i zapisał wygenerowany w serwisie eESPD plik w formacie xml. Plik można pobrać ze strony </w:t>
      </w:r>
      <w:hyperlink r:id="rId8" w:history="1">
        <w:r w:rsidRPr="003D43D8">
          <w:rPr>
            <w:rStyle w:val="Hipercze"/>
            <w:rFonts w:ascii="Calibri" w:eastAsia="Times New Roman" w:hAnsi="Calibri"/>
            <w:sz w:val="16"/>
            <w:szCs w:val="16"/>
            <w:lang w:eastAsia="pl-PL"/>
          </w:rPr>
          <w:t>http://www.szpitalzdrowia.pl/o-szpitalu/zamowienia-publiczne-i-bip/</w:t>
        </w:r>
      </w:hyperlink>
      <w:r w:rsidRPr="003D43D8">
        <w:rPr>
          <w:rFonts w:ascii="Calibri" w:eastAsia="Times New Roman" w:hAnsi="Calibri"/>
          <w:sz w:val="16"/>
          <w:szCs w:val="16"/>
          <w:lang w:eastAsia="pl-PL"/>
        </w:rPr>
        <w:t xml:space="preserve"> 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w </w:t>
      </w:r>
      <w:r w:rsidRPr="009F13A9">
        <w:rPr>
          <w:rFonts w:ascii="Calibri" w:eastAsia="Times New Roman" w:hAnsi="Calibri" w:cs="Arial"/>
          <w:sz w:val="16"/>
          <w:szCs w:val="16"/>
          <w:lang w:eastAsia="pl-PL"/>
        </w:rPr>
        <w:t xml:space="preserve">dokumentach dla przetargu </w:t>
      </w:r>
      <w:r w:rsidRPr="0015621F">
        <w:rPr>
          <w:rFonts w:ascii="Calibri" w:hAnsi="Calibri"/>
          <w:b/>
          <w:sz w:val="16"/>
          <w:szCs w:val="16"/>
        </w:rPr>
        <w:t xml:space="preserve">Dostawa wyrobów medycznych </w:t>
      </w:r>
      <w:r>
        <w:rPr>
          <w:rFonts w:ascii="Calibri" w:hAnsi="Calibri"/>
          <w:b/>
          <w:sz w:val="16"/>
          <w:szCs w:val="16"/>
        </w:rPr>
        <w:t>– 12 grup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3D43D8">
        <w:rPr>
          <w:rFonts w:ascii="Calibri" w:hAnsi="Calibri" w:cs="Arial"/>
          <w:b/>
          <w:sz w:val="16"/>
          <w:szCs w:val="16"/>
        </w:rPr>
        <w:t>EZP-271-2/</w:t>
      </w:r>
      <w:r>
        <w:rPr>
          <w:rFonts w:ascii="Calibri" w:hAnsi="Calibri" w:cs="Arial"/>
          <w:b/>
          <w:sz w:val="16"/>
          <w:szCs w:val="16"/>
        </w:rPr>
        <w:t>99</w:t>
      </w:r>
      <w:r w:rsidRPr="003D43D8">
        <w:rPr>
          <w:rFonts w:ascii="Calibri" w:hAnsi="Calibri" w:cs="Arial"/>
          <w:b/>
          <w:sz w:val="16"/>
          <w:szCs w:val="16"/>
        </w:rPr>
        <w:t>/2016</w:t>
      </w:r>
      <w:r>
        <w:rPr>
          <w:rFonts w:ascii="Calibri" w:hAnsi="Calibri" w:cs="Arial"/>
          <w:b/>
          <w:sz w:val="16"/>
          <w:szCs w:val="16"/>
        </w:rPr>
        <w:t>.</w:t>
      </w:r>
      <w:r w:rsidRPr="003D43D8">
        <w:rPr>
          <w:rFonts w:ascii="Calibri" w:hAnsi="Calibri" w:cs="Arial"/>
          <w:b/>
          <w:sz w:val="16"/>
          <w:szCs w:val="16"/>
        </w:rPr>
        <w:t xml:space="preserve"> 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Formularz wstępnie przygotowany zawiera tylko pola wskazane przez Zamawiającego (zalecane). W przypadku gdy wykonawca chce skorzystać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Po wypełnieniu formularza Wykonawca ma możliwość jego wydrukowania lub wyeksportowania w formacie xml. Wygenerowany w serwisie plik xml powinien zostać zapisany przez wykonawcę na dysku lokalnym lub innym nośniku danych, ponieważ pliki nie są przechowywane w serwisie eESPD, Tak przygotowany formularz, po jego wydrukowaniu i podpisaniu, może zostać załączony do oferty</w:t>
      </w:r>
    </w:p>
    <w:p w:rsidR="00FC26F7" w:rsidRPr="0033700F" w:rsidRDefault="00FC26F7" w:rsidP="00B40DF9">
      <w:pPr>
        <w:ind w:left="372" w:firstLine="708"/>
        <w:jc w:val="both"/>
        <w:rPr>
          <w:rFonts w:ascii="Calibri" w:eastAsia="Times New Roman" w:hAnsi="Calibri" w:cs="Arial"/>
          <w:b/>
          <w:sz w:val="16"/>
          <w:szCs w:val="16"/>
          <w:u w:val="single"/>
          <w:lang w:eastAsia="pl-PL"/>
        </w:rPr>
      </w:pPr>
      <w:r w:rsidRPr="0033700F">
        <w:rPr>
          <w:rFonts w:ascii="Calibri" w:eastAsia="Times New Roman" w:hAnsi="Calibri" w:cs="Arial"/>
          <w:b/>
          <w:sz w:val="16"/>
          <w:szCs w:val="16"/>
          <w:u w:val="single"/>
          <w:lang w:eastAsia="pl-PL"/>
        </w:rPr>
        <w:t>Winno być napisane:</w:t>
      </w:r>
    </w:p>
    <w:p w:rsidR="00FC26F7" w:rsidRPr="003D43D8" w:rsidRDefault="00FC26F7" w:rsidP="00B40DF9">
      <w:pPr>
        <w:pStyle w:val="Domyolnie"/>
        <w:ind w:left="1080" w:firstLine="0"/>
        <w:jc w:val="both"/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b/>
          <w:color w:val="auto"/>
          <w:sz w:val="16"/>
          <w:szCs w:val="16"/>
        </w:rPr>
        <w:t xml:space="preserve">IX. </w:t>
      </w:r>
      <w:r w:rsidRPr="003D43D8">
        <w:rPr>
          <w:rFonts w:ascii="Calibri" w:hAnsi="Calibri"/>
          <w:b/>
          <w:color w:val="auto"/>
          <w:sz w:val="16"/>
          <w:szCs w:val="16"/>
        </w:rPr>
        <w:t>WYKAZ OŚWIADCZEŃ LUB DOKUMENTÓW, POTWIERDZAJĄCYCH SPEŁNIANIE WARUNKÓW UDZIAŁU W POSTĘPOWANIU ORAZ BRAK PODSTAW WYKLUCZENIA</w:t>
      </w:r>
    </w:p>
    <w:p w:rsidR="00FC26F7" w:rsidRPr="003D43D8" w:rsidRDefault="00FC26F7" w:rsidP="00FC26F7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Do oferty każdy wykonawca musi dołączyć aktualne na dzień składania ofert oświadczenie w zakresie wskazanym w załączniku nr 4 </w:t>
      </w:r>
      <w:r>
        <w:rPr>
          <w:rFonts w:ascii="Calibri" w:hAnsi="Calibri"/>
          <w:sz w:val="16"/>
          <w:szCs w:val="16"/>
        </w:rPr>
        <w:t xml:space="preserve">(Jednolity Europejski Dokument Zamówienia) </w:t>
      </w:r>
      <w:r w:rsidRPr="003D43D8">
        <w:rPr>
          <w:rFonts w:ascii="Calibri" w:hAnsi="Calibri"/>
          <w:sz w:val="16"/>
          <w:szCs w:val="16"/>
        </w:rPr>
        <w:t>do specyfikacji.</w:t>
      </w:r>
    </w:p>
    <w:p w:rsidR="00FC26F7" w:rsidRPr="00DC3C38" w:rsidRDefault="00FC26F7" w:rsidP="00FC26F7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W przypadku wspólnego ubiegania się o zamówienie przez wykonawców oświadczenie, o którym mowa w punkcie 1 specyfikacji składa każdy z wykonawców wspólnie ubiegających się o zamówienie. Oświadczenie to ma potwierdzać spełnianie warunków udziału w postępowaniu </w:t>
      </w:r>
      <w:r>
        <w:rPr>
          <w:rFonts w:ascii="Calibri" w:hAnsi="Calibri"/>
          <w:sz w:val="16"/>
          <w:szCs w:val="16"/>
        </w:rPr>
        <w:t xml:space="preserve">oraz brak podstaw wykluczenia </w:t>
      </w:r>
      <w:r w:rsidRPr="003D43D8">
        <w:rPr>
          <w:rFonts w:ascii="Calibri" w:hAnsi="Calibri"/>
          <w:sz w:val="16"/>
          <w:szCs w:val="16"/>
        </w:rPr>
        <w:t xml:space="preserve">w zakresie, w którym każdy z </w:t>
      </w:r>
      <w:r w:rsidRPr="00DC3C38">
        <w:rPr>
          <w:rFonts w:ascii="Calibri" w:hAnsi="Calibri"/>
          <w:sz w:val="16"/>
          <w:szCs w:val="16"/>
        </w:rPr>
        <w:t>wykonawców wykazuje spełnianie warunków udziału w postępowaniu oraz brak podstaw wykluczenia.</w:t>
      </w:r>
    </w:p>
    <w:p w:rsidR="00FC26F7" w:rsidRPr="00DC3C38" w:rsidRDefault="00FC26F7" w:rsidP="00FC26F7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DC3C38">
        <w:rPr>
          <w:rFonts w:ascii="Calibri" w:hAnsi="Calibri"/>
          <w:sz w:val="16"/>
          <w:szCs w:val="16"/>
        </w:rPr>
        <w:t xml:space="preserve">Zamawiający </w:t>
      </w:r>
      <w:r w:rsidRPr="00D866B7">
        <w:rPr>
          <w:rFonts w:ascii="Calibri" w:hAnsi="Calibri"/>
          <w:color w:val="000000"/>
          <w:sz w:val="16"/>
          <w:szCs w:val="16"/>
        </w:rPr>
        <w:t>nie wymaga</w:t>
      </w:r>
      <w:r w:rsidRPr="00DC3C38">
        <w:rPr>
          <w:rFonts w:ascii="Calibri" w:hAnsi="Calibri"/>
          <w:sz w:val="16"/>
          <w:szCs w:val="16"/>
        </w:rPr>
        <w:t xml:space="preserve"> zamieszczenia informacji o podwykonawcach w oświadczeniu, o którym mowa w punkcie 1 niniejszego rozdziału specyfikacji, w celu wykazania braku istnienia wobec nich podstaw wykluczenia z udziału w postępowaniu</w:t>
      </w:r>
      <w:r>
        <w:rPr>
          <w:rFonts w:ascii="Calibri" w:hAnsi="Calibri"/>
          <w:sz w:val="16"/>
          <w:szCs w:val="16"/>
        </w:rPr>
        <w:t>.</w:t>
      </w:r>
    </w:p>
    <w:p w:rsidR="00FC26F7" w:rsidRPr="003D43D8" w:rsidRDefault="00FC26F7" w:rsidP="00FC26F7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 żądanie Zamawiającego, W</w:t>
      </w:r>
      <w:r w:rsidRPr="003D43D8">
        <w:rPr>
          <w:rFonts w:ascii="Calibri" w:hAnsi="Calibri"/>
          <w:sz w:val="16"/>
          <w:szCs w:val="16"/>
        </w:rPr>
        <w:t xml:space="preserve">ykonawca, który zamierza powierzyć wykonanie części zamówienia podwykonawcom, w celu wykazania braku istnienia wobec nich podstaw wykluczenia z udziału w </w:t>
      </w:r>
      <w:r w:rsidRPr="003D43D8">
        <w:rPr>
          <w:rFonts w:ascii="Calibri" w:hAnsi="Calibri"/>
          <w:sz w:val="16"/>
          <w:szCs w:val="16"/>
        </w:rPr>
        <w:lastRenderedPageBreak/>
        <w:t>postępowaniu składa oświadczenie, o którym mowa w punkcie 1 specyfikacji, dotyczące każdego podwykonawcy.</w:t>
      </w:r>
    </w:p>
    <w:p w:rsidR="00FC26F7" w:rsidRDefault="00FC26F7" w:rsidP="00FC26F7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Wykonawca, który powołuje się na zasoby innych podmiotów, w celu wykazania braku istnienia wobec nich podstaw wykluczenia oraz spełnienia w zakresie, w jakim powołuje się na ich zasoby, warunków udziału w postępowaniu składa także oświadczenie, o którym mowa w punkcie 1 specyfikacji, dotyczące tych podmiotów.</w:t>
      </w:r>
    </w:p>
    <w:p w:rsidR="00FC26F7" w:rsidRPr="0018266B" w:rsidRDefault="00FC26F7" w:rsidP="00FC26F7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Informacje zawarte w oświadczeniu stanowią wstępne potwierdzenie, że wykonawca nie podlega wykluczeniu na podstawie art. 24 ust. 1. i 24 ust. 5 pkt. 1</w:t>
      </w:r>
    </w:p>
    <w:p w:rsidR="00FC26F7" w:rsidRPr="0018266B" w:rsidRDefault="00FC26F7" w:rsidP="00FC26F7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Elektroniczne narzędzie do wypełniania JEDZ/ESPD (eESPD)</w:t>
      </w:r>
      <w:r>
        <w:rPr>
          <w:rFonts w:ascii="Calibri" w:eastAsia="Times New Roman" w:hAnsi="Calibri" w:cs="Arial"/>
          <w:sz w:val="16"/>
          <w:szCs w:val="16"/>
          <w:lang w:eastAsia="pl-PL"/>
        </w:rPr>
        <w:t>.</w:t>
      </w:r>
    </w:p>
    <w:p w:rsidR="00FC26F7" w:rsidRPr="0018266B" w:rsidRDefault="00FC26F7" w:rsidP="00FC26F7">
      <w:pPr>
        <w:spacing w:after="0"/>
        <w:ind w:left="1077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Informujemy, że pod adresem </w:t>
      </w:r>
      <w:hyperlink r:id="rId9" w:history="1">
        <w:r w:rsidRPr="0018266B">
          <w:rPr>
            <w:rStyle w:val="Hipercze"/>
            <w:rFonts w:ascii="Calibri" w:eastAsia="Times New Roman" w:hAnsi="Calibri" w:cs="Arial"/>
            <w:sz w:val="16"/>
            <w:szCs w:val="16"/>
            <w:lang w:eastAsia="pl-PL"/>
          </w:rPr>
          <w:t>http://ec.europa.eu/growth/espd</w:t>
        </w:r>
      </w:hyperlink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 Komisja Europejska udostępniła narzędzie umożliwiające zamawiającym i wykonawcom utworzenie, wypełnienie i ponowne wykorzystanie standardowego formularza Jednolitego Europejskiego Dokumentu Zamówienia w wersji elektronicznej.</w:t>
      </w:r>
    </w:p>
    <w:p w:rsidR="008E685C" w:rsidRDefault="00FC26F7" w:rsidP="00D83B24">
      <w:pPr>
        <w:ind w:left="108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Zamawiający wypełnił dokument JEDZ stosownie do wymagań stawianych w specyfikacji i zapisał wygenerowany w serwisie eESPD plik w formacie xml. Plik można pobrać ze strony </w:t>
      </w:r>
      <w:hyperlink r:id="rId10" w:history="1">
        <w:r w:rsidRPr="003D43D8">
          <w:rPr>
            <w:rStyle w:val="Hipercze"/>
            <w:rFonts w:ascii="Calibri" w:eastAsia="Times New Roman" w:hAnsi="Calibri"/>
            <w:sz w:val="16"/>
            <w:szCs w:val="16"/>
            <w:lang w:eastAsia="pl-PL"/>
          </w:rPr>
          <w:t>http://www.szpitalzdrowia.pl/o-szpitalu/zamowienia-publiczne-i-bip/</w:t>
        </w:r>
      </w:hyperlink>
      <w:r w:rsidRPr="003D43D8">
        <w:rPr>
          <w:rFonts w:ascii="Calibri" w:eastAsia="Times New Roman" w:hAnsi="Calibri"/>
          <w:sz w:val="16"/>
          <w:szCs w:val="16"/>
          <w:lang w:eastAsia="pl-PL"/>
        </w:rPr>
        <w:t xml:space="preserve"> 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w </w:t>
      </w:r>
      <w:r w:rsidRPr="009F13A9">
        <w:rPr>
          <w:rFonts w:ascii="Calibri" w:eastAsia="Times New Roman" w:hAnsi="Calibri" w:cs="Arial"/>
          <w:sz w:val="16"/>
          <w:szCs w:val="16"/>
          <w:lang w:eastAsia="pl-PL"/>
        </w:rPr>
        <w:t xml:space="preserve">dokumentach dla przetargu </w:t>
      </w:r>
      <w:r w:rsidRPr="0015621F">
        <w:rPr>
          <w:rFonts w:ascii="Calibri" w:hAnsi="Calibri"/>
          <w:b/>
          <w:sz w:val="16"/>
          <w:szCs w:val="16"/>
        </w:rPr>
        <w:t xml:space="preserve">Dostawa wyrobów medycznych </w:t>
      </w:r>
      <w:r>
        <w:rPr>
          <w:rFonts w:ascii="Calibri" w:hAnsi="Calibri"/>
          <w:b/>
          <w:sz w:val="16"/>
          <w:szCs w:val="16"/>
        </w:rPr>
        <w:t xml:space="preserve">– 2 grupy 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3D43D8">
        <w:rPr>
          <w:rFonts w:ascii="Calibri" w:hAnsi="Calibri" w:cs="Arial"/>
          <w:b/>
          <w:sz w:val="16"/>
          <w:szCs w:val="16"/>
        </w:rPr>
        <w:t>EZP-271-2/</w:t>
      </w:r>
      <w:r>
        <w:rPr>
          <w:rFonts w:ascii="Calibri" w:hAnsi="Calibri" w:cs="Arial"/>
          <w:b/>
          <w:sz w:val="16"/>
          <w:szCs w:val="16"/>
        </w:rPr>
        <w:t>120</w:t>
      </w:r>
      <w:r w:rsidRPr="003D43D8">
        <w:rPr>
          <w:rFonts w:ascii="Calibri" w:hAnsi="Calibri" w:cs="Arial"/>
          <w:b/>
          <w:sz w:val="16"/>
          <w:szCs w:val="16"/>
        </w:rPr>
        <w:t>/2016</w:t>
      </w:r>
      <w:r>
        <w:rPr>
          <w:rFonts w:ascii="Calibri" w:hAnsi="Calibri" w:cs="Arial"/>
          <w:b/>
          <w:sz w:val="16"/>
          <w:szCs w:val="16"/>
        </w:rPr>
        <w:t>.</w:t>
      </w:r>
      <w:r w:rsidRPr="003D43D8">
        <w:rPr>
          <w:rFonts w:ascii="Calibri" w:hAnsi="Calibri" w:cs="Arial"/>
          <w:b/>
          <w:sz w:val="16"/>
          <w:szCs w:val="16"/>
        </w:rPr>
        <w:t xml:space="preserve"> </w:t>
      </w:r>
      <w:r w:rsidRPr="0018266B">
        <w:rPr>
          <w:rFonts w:ascii="Calibri" w:eastAsia="Times New Roman" w:hAnsi="Calibri" w:cs="Arial"/>
          <w:sz w:val="16"/>
          <w:szCs w:val="16"/>
          <w:lang w:eastAsia="pl-PL"/>
        </w:rPr>
        <w:t>Formularz wstępnie przygotowany zawiera tylko pola wskazane przez Zamawiającego (zalecane). W przypadku gdy wykonawca chce skorzystać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Po wypełnieniu formularza Wykonawca ma możliwość jego wydrukowania lub wyeksportowania w formacie xml. Wygenerowany w serwisie plik xml powinien zostać zapisany przez wykonawcę na dysku lokalnym lub innym nośniku danych, ponieważ pliki nie są przechowywane w serwisie eESPD, Tak przygotowany formularz, po jego wydrukowaniu i podpisaniu, może zostać załączony do oferty</w:t>
      </w:r>
    </w:p>
    <w:p w:rsidR="0071796D" w:rsidRDefault="0071796D" w:rsidP="0071796D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W załączeniu:</w:t>
      </w:r>
    </w:p>
    <w:p w:rsidR="0071796D" w:rsidRDefault="0071796D" w:rsidP="0071796D">
      <w:pPr>
        <w:pStyle w:val="Akapitzlist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Formularz ofertowy</w:t>
      </w:r>
    </w:p>
    <w:p w:rsidR="0071796D" w:rsidRPr="0071796D" w:rsidRDefault="0071796D" w:rsidP="0071796D">
      <w:pPr>
        <w:pStyle w:val="Akapitzlist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Istotne Postanowienia Umowy</w:t>
      </w:r>
    </w:p>
    <w:p w:rsidR="0071796D" w:rsidRPr="00D83B24" w:rsidRDefault="0071796D" w:rsidP="0071796D">
      <w:pPr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8C2580" w:rsidRPr="00F732E4">
        <w:rPr>
          <w:rFonts w:ascii="Calibri" w:hAnsi="Calibri" w:cs="Times New Roman"/>
          <w:sz w:val="18"/>
          <w:szCs w:val="18"/>
        </w:rPr>
        <w:t>Lecznictwa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861DB7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65"/>
    <w:multiLevelType w:val="hybridMultilevel"/>
    <w:tmpl w:val="8D2C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 w15:restartNumberingAfterBreak="0">
    <w:nsid w:val="111740D5"/>
    <w:multiLevelType w:val="hybridMultilevel"/>
    <w:tmpl w:val="BE38E4AA"/>
    <w:lvl w:ilvl="0" w:tplc="4036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62E6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21BD4"/>
    <w:multiLevelType w:val="hybridMultilevel"/>
    <w:tmpl w:val="A5100650"/>
    <w:lvl w:ilvl="0" w:tplc="A740F312">
      <w:start w:val="1"/>
      <w:numFmt w:val="decimal"/>
      <w:lvlText w:val="%1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F1F61"/>
    <w:multiLevelType w:val="hybridMultilevel"/>
    <w:tmpl w:val="06460952"/>
    <w:lvl w:ilvl="0" w:tplc="A6A2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6"/>
  </w:num>
  <w:num w:numId="8">
    <w:abstractNumId w:val="25"/>
  </w:num>
  <w:num w:numId="9">
    <w:abstractNumId w:val="0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22"/>
  </w:num>
  <w:num w:numId="16">
    <w:abstractNumId w:val="19"/>
  </w:num>
  <w:num w:numId="17">
    <w:abstractNumId w:val="9"/>
  </w:num>
  <w:num w:numId="18">
    <w:abstractNumId w:val="1"/>
  </w:num>
  <w:num w:numId="19">
    <w:abstractNumId w:val="4"/>
  </w:num>
  <w:num w:numId="20">
    <w:abstractNumId w:val="20"/>
  </w:num>
  <w:num w:numId="21">
    <w:abstractNumId w:val="5"/>
  </w:num>
  <w:num w:numId="22">
    <w:abstractNumId w:val="24"/>
  </w:num>
  <w:num w:numId="23">
    <w:abstractNumId w:val="2"/>
  </w:num>
  <w:num w:numId="24">
    <w:abstractNumId w:val="18"/>
  </w:num>
  <w:num w:numId="25">
    <w:abstractNumId w:val="21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0A7B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E2319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02D9"/>
    <w:rsid w:val="00333910"/>
    <w:rsid w:val="0033700F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F22F6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06587"/>
    <w:rsid w:val="00712EBC"/>
    <w:rsid w:val="0071796D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53AAC"/>
    <w:rsid w:val="00860853"/>
    <w:rsid w:val="00861382"/>
    <w:rsid w:val="0089747C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A85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0DF9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26E9A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83B24"/>
    <w:rsid w:val="00DA496F"/>
    <w:rsid w:val="00DA54CB"/>
    <w:rsid w:val="00DC044C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0B97"/>
    <w:rsid w:val="00F5124E"/>
    <w:rsid w:val="00F65075"/>
    <w:rsid w:val="00F732E4"/>
    <w:rsid w:val="00F915BD"/>
    <w:rsid w:val="00F95740"/>
    <w:rsid w:val="00FA161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853A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A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3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85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drowia.pl/o-szpitalu/zamowienia-publiczne-i-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zpitalzdrowia.pl/o-szpitalu/zamowienia-publiczne-i-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8</cp:revision>
  <cp:lastPrinted>2016-12-12T11:46:00Z</cp:lastPrinted>
  <dcterms:created xsi:type="dcterms:W3CDTF">2016-12-12T07:58:00Z</dcterms:created>
  <dcterms:modified xsi:type="dcterms:W3CDTF">2016-12-12T11:46:00Z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