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AD" w:rsidRDefault="00B768AD" w:rsidP="00B768AD">
      <w:pPr>
        <w:pStyle w:val="Tekstprzypisudolnego"/>
        <w:ind w:right="-286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Uniwersytecki Szpital Dziecięcy w Krakowie</w:t>
      </w:r>
    </w:p>
    <w:p w:rsidR="00B768AD" w:rsidRDefault="00B768AD" w:rsidP="00B768AD">
      <w:pPr>
        <w:spacing w:after="0" w:line="240" w:lineRule="auto"/>
        <w:ind w:right="-141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Ul. Wielicka 265, 30-663 Kraków</w:t>
      </w:r>
    </w:p>
    <w:p w:rsidR="00B768AD" w:rsidRDefault="00B768AD" w:rsidP="00B768AD">
      <w:pPr>
        <w:spacing w:after="0" w:line="240" w:lineRule="auto"/>
        <w:ind w:right="-141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Tel: 0 12 658 20 11; fax: 0 12 658 10 81</w:t>
      </w:r>
    </w:p>
    <w:p w:rsidR="00B768AD" w:rsidRDefault="00B768AD" w:rsidP="00B768AD">
      <w:pPr>
        <w:spacing w:after="0" w:line="240" w:lineRule="auto"/>
        <w:ind w:right="-141"/>
        <w:jc w:val="both"/>
        <w:rPr>
          <w:rFonts w:cs="Arial"/>
          <w:sz w:val="18"/>
          <w:szCs w:val="18"/>
        </w:rPr>
      </w:pPr>
      <w:r>
        <w:rPr>
          <w:rFonts w:cs="Arial"/>
          <w:sz w:val="16"/>
          <w:szCs w:val="16"/>
        </w:rPr>
        <w:t>REGON 351375886, NIP 679-25-25-795</w:t>
      </w:r>
    </w:p>
    <w:p w:rsidR="00B768AD" w:rsidRDefault="000F5C64" w:rsidP="00B768AD">
      <w:pPr>
        <w:spacing w:after="0" w:line="240" w:lineRule="auto"/>
        <w:ind w:right="-141"/>
        <w:jc w:val="righ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Kraków, 13.11</w:t>
      </w:r>
      <w:r w:rsidR="00B768AD">
        <w:rPr>
          <w:rFonts w:cs="Tahoma"/>
          <w:sz w:val="18"/>
          <w:szCs w:val="18"/>
        </w:rPr>
        <w:t>.2015r.</w:t>
      </w:r>
    </w:p>
    <w:p w:rsidR="00B768AD" w:rsidRDefault="000F5C64" w:rsidP="00B768AD">
      <w:pPr>
        <w:spacing w:after="0" w:line="240" w:lineRule="auto"/>
        <w:ind w:right="-141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EZP-271-2/160</w:t>
      </w:r>
      <w:r w:rsidR="00D95BA0">
        <w:rPr>
          <w:rFonts w:cs="Tahoma"/>
          <w:sz w:val="18"/>
          <w:szCs w:val="18"/>
        </w:rPr>
        <w:t>/2015/p-3</w:t>
      </w:r>
    </w:p>
    <w:p w:rsidR="00B768AD" w:rsidRDefault="00B768AD" w:rsidP="00B768AD">
      <w:pPr>
        <w:pStyle w:val="Tekstprzypisudolnego"/>
        <w:ind w:right="-286"/>
        <w:jc w:val="both"/>
        <w:rPr>
          <w:rFonts w:ascii="Calibri" w:hAnsi="Calibri" w:cs="Tahoma"/>
          <w:b/>
          <w:sz w:val="18"/>
          <w:szCs w:val="18"/>
        </w:rPr>
      </w:pPr>
    </w:p>
    <w:p w:rsidR="00B768AD" w:rsidRDefault="00B768AD" w:rsidP="00B768AD">
      <w:pPr>
        <w:spacing w:after="0" w:line="240" w:lineRule="auto"/>
        <w:jc w:val="both"/>
        <w:rPr>
          <w:sz w:val="18"/>
          <w:szCs w:val="18"/>
        </w:rPr>
      </w:pPr>
    </w:p>
    <w:p w:rsidR="00B768AD" w:rsidRDefault="00B768AD" w:rsidP="00B768AD">
      <w:pPr>
        <w:spacing w:after="0" w:line="240" w:lineRule="auto"/>
        <w:jc w:val="both"/>
        <w:rPr>
          <w:sz w:val="18"/>
          <w:szCs w:val="18"/>
        </w:rPr>
      </w:pPr>
    </w:p>
    <w:p w:rsidR="00B768AD" w:rsidRDefault="00B768AD" w:rsidP="00B768AD">
      <w:pPr>
        <w:spacing w:after="0" w:line="240" w:lineRule="auto"/>
        <w:jc w:val="both"/>
        <w:rPr>
          <w:sz w:val="18"/>
          <w:szCs w:val="18"/>
        </w:rPr>
      </w:pPr>
    </w:p>
    <w:p w:rsidR="00B768AD" w:rsidRDefault="00B768AD" w:rsidP="00B768A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Dotyczy postępowania o udzielenie zamówienia publicznego prowadzonego w trybie przetargu nieograniczonego </w:t>
      </w:r>
      <w:r w:rsidR="00D95BA0">
        <w:rPr>
          <w:sz w:val="18"/>
          <w:szCs w:val="18"/>
        </w:rPr>
        <w:t>na dostawę produktów do żywie</w:t>
      </w:r>
      <w:r w:rsidR="007F06C0">
        <w:rPr>
          <w:sz w:val="18"/>
          <w:szCs w:val="18"/>
        </w:rPr>
        <w:t xml:space="preserve">nia pozajelitowego szpitalnego i domowego wraz z dzierżawą urządzeń do produkcji worków do żywienia pozajelitowego – 2 grupy </w:t>
      </w:r>
      <w:r w:rsidR="000F5C64">
        <w:rPr>
          <w:sz w:val="18"/>
          <w:szCs w:val="18"/>
        </w:rPr>
        <w:t xml:space="preserve"> nr EZP-271-2/160</w:t>
      </w:r>
      <w:r w:rsidR="00D95BA0">
        <w:rPr>
          <w:sz w:val="18"/>
          <w:szCs w:val="18"/>
        </w:rPr>
        <w:t>/2015 pismo 3</w:t>
      </w:r>
    </w:p>
    <w:p w:rsidR="00B768AD" w:rsidRDefault="00B768AD" w:rsidP="00B768AD">
      <w:pPr>
        <w:pStyle w:val="Standard"/>
        <w:rPr>
          <w:rFonts w:ascii="Calibri" w:hAnsi="Calibri"/>
          <w:sz w:val="18"/>
          <w:szCs w:val="18"/>
          <w:lang w:val="pl-PL"/>
        </w:rPr>
      </w:pPr>
    </w:p>
    <w:p w:rsidR="00B768AD" w:rsidRDefault="00B768AD" w:rsidP="00B768AD">
      <w:pPr>
        <w:pStyle w:val="Standard"/>
        <w:rPr>
          <w:rFonts w:ascii="Calibri" w:hAnsi="Calibri"/>
          <w:sz w:val="18"/>
          <w:szCs w:val="18"/>
          <w:lang w:val="pl-PL"/>
        </w:rPr>
      </w:pPr>
    </w:p>
    <w:p w:rsidR="005630CE" w:rsidRDefault="005630CE" w:rsidP="00B768AD">
      <w:pPr>
        <w:pStyle w:val="Standard"/>
        <w:rPr>
          <w:rFonts w:ascii="Calibri" w:hAnsi="Calibri"/>
          <w:sz w:val="18"/>
          <w:szCs w:val="18"/>
          <w:lang w:val="pl-PL"/>
        </w:rPr>
      </w:pPr>
      <w:r>
        <w:rPr>
          <w:rFonts w:ascii="Calibri" w:hAnsi="Calibri"/>
          <w:sz w:val="18"/>
          <w:szCs w:val="18"/>
          <w:lang w:val="pl-PL"/>
        </w:rPr>
        <w:tab/>
        <w:t>W związku zapytaniami Wykonawców Zamawiający wyjaśnia:</w:t>
      </w:r>
    </w:p>
    <w:p w:rsidR="005630CE" w:rsidRPr="005630CE" w:rsidRDefault="005630CE" w:rsidP="000F5C64">
      <w:pPr>
        <w:pStyle w:val="Default"/>
        <w:rPr>
          <w:rFonts w:ascii="Arial Narrow" w:hAnsi="Arial Narrow" w:cs="Arial"/>
          <w:b/>
          <w:sz w:val="18"/>
          <w:szCs w:val="18"/>
          <w:lang w:val="pl-PL"/>
        </w:rPr>
      </w:pPr>
    </w:p>
    <w:p w:rsidR="005630CE" w:rsidRPr="005630CE" w:rsidRDefault="005630CE" w:rsidP="000F5C64">
      <w:pPr>
        <w:pStyle w:val="Default"/>
        <w:jc w:val="both"/>
        <w:rPr>
          <w:rFonts w:asciiTheme="minorHAnsi" w:hAnsiTheme="minorHAnsi" w:cs="Arial"/>
          <w:b/>
          <w:color w:val="auto"/>
          <w:sz w:val="18"/>
          <w:szCs w:val="18"/>
          <w:u w:val="single"/>
          <w:lang w:val="pl-PL"/>
        </w:rPr>
      </w:pPr>
      <w:r w:rsidRPr="005630CE">
        <w:rPr>
          <w:rFonts w:asciiTheme="minorHAnsi" w:hAnsiTheme="minorHAnsi" w:cs="Arial"/>
          <w:b/>
          <w:color w:val="auto"/>
          <w:sz w:val="18"/>
          <w:szCs w:val="18"/>
          <w:u w:val="single"/>
          <w:lang w:val="pl-PL"/>
        </w:rPr>
        <w:t>Pytanie nr 1</w:t>
      </w:r>
    </w:p>
    <w:p w:rsidR="005630CE" w:rsidRDefault="005630CE" w:rsidP="000F5C64">
      <w:pPr>
        <w:spacing w:after="0" w:line="240" w:lineRule="auto"/>
        <w:ind w:firstLine="720"/>
        <w:jc w:val="both"/>
        <w:rPr>
          <w:rFonts w:asciiTheme="minorHAnsi" w:hAnsiTheme="minorHAnsi"/>
          <w:sz w:val="18"/>
          <w:szCs w:val="18"/>
          <w:lang w:eastAsia="zh-CN"/>
        </w:rPr>
      </w:pPr>
      <w:r w:rsidRPr="005630CE">
        <w:rPr>
          <w:rFonts w:asciiTheme="minorHAnsi" w:hAnsiTheme="minorHAnsi"/>
          <w:sz w:val="18"/>
          <w:szCs w:val="18"/>
          <w:lang w:eastAsia="zh-CN"/>
        </w:rPr>
        <w:t>Czy Zamawiający w załączniku 3/3 (ZESTAWIENIE PARAMETRÓW WYMAGANYCH w zestawie urządzeń do produkcji worków do żywienia pozajelitowe) wymaga, aby zaoferowane dzierżawione urządzenie miało możliwość dozowania preparatów do worka żywieniowego w objętościach od 0,2 ml? Takie rozwiązanie stwarza dla Zamykającego komfort przygotowania całościowej mieszaniny w sposób automatyczny, znaczę podnosi standard bezpieczeństwa dla przygotowanych recept oraz znacząco obniża czas pracy przewidziany na przygotowanie jednego worka.</w:t>
      </w:r>
    </w:p>
    <w:p w:rsidR="005630CE" w:rsidRDefault="005630CE" w:rsidP="000F5C64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  <w:u w:val="single"/>
          <w:lang w:eastAsia="zh-CN"/>
        </w:rPr>
      </w:pPr>
      <w:r w:rsidRPr="005630CE">
        <w:rPr>
          <w:rFonts w:asciiTheme="minorHAnsi" w:hAnsiTheme="minorHAnsi"/>
          <w:b/>
          <w:sz w:val="18"/>
          <w:szCs w:val="18"/>
          <w:u w:val="single"/>
          <w:lang w:eastAsia="zh-CN"/>
        </w:rPr>
        <w:t>Odpowiedź:</w:t>
      </w:r>
    </w:p>
    <w:p w:rsidR="005630CE" w:rsidRPr="005630CE" w:rsidRDefault="005630CE" w:rsidP="000F5C64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  <w:lang w:eastAsia="zh-CN"/>
        </w:rPr>
      </w:pPr>
      <w:r w:rsidRPr="005630CE">
        <w:rPr>
          <w:rFonts w:asciiTheme="minorHAnsi" w:hAnsiTheme="minorHAnsi"/>
          <w:b/>
          <w:sz w:val="18"/>
          <w:szCs w:val="18"/>
          <w:lang w:eastAsia="zh-CN"/>
        </w:rPr>
        <w:t>Nie</w:t>
      </w:r>
      <w:r>
        <w:rPr>
          <w:rFonts w:asciiTheme="minorHAnsi" w:hAnsiTheme="minorHAnsi"/>
          <w:b/>
          <w:sz w:val="18"/>
          <w:szCs w:val="18"/>
          <w:lang w:eastAsia="zh-CN"/>
        </w:rPr>
        <w:t>, Zamawiający podtrzymuje warunki SIWZ</w:t>
      </w:r>
    </w:p>
    <w:p w:rsidR="005630CE" w:rsidRPr="005630CE" w:rsidRDefault="005630CE" w:rsidP="000F5C64">
      <w:pPr>
        <w:spacing w:after="0" w:line="240" w:lineRule="auto"/>
        <w:jc w:val="both"/>
        <w:rPr>
          <w:rFonts w:asciiTheme="minorHAnsi" w:hAnsiTheme="minorHAnsi"/>
          <w:sz w:val="18"/>
          <w:szCs w:val="18"/>
          <w:lang w:eastAsia="zh-CN"/>
        </w:rPr>
      </w:pPr>
      <w:r w:rsidRPr="005630CE">
        <w:rPr>
          <w:rFonts w:asciiTheme="minorHAnsi" w:hAnsiTheme="minorHAnsi" w:cs="Arial"/>
          <w:b/>
          <w:sz w:val="18"/>
          <w:szCs w:val="18"/>
          <w:u w:val="single"/>
        </w:rPr>
        <w:t>Pytanie nr 2</w:t>
      </w:r>
    </w:p>
    <w:p w:rsidR="005630CE" w:rsidRDefault="005630CE" w:rsidP="000F5C64">
      <w:pPr>
        <w:spacing w:after="0" w:line="240" w:lineRule="auto"/>
        <w:ind w:firstLine="720"/>
        <w:jc w:val="both"/>
        <w:rPr>
          <w:rFonts w:asciiTheme="minorHAnsi" w:hAnsiTheme="minorHAnsi"/>
          <w:sz w:val="18"/>
          <w:szCs w:val="18"/>
          <w:lang w:eastAsia="zh-CN"/>
        </w:rPr>
      </w:pPr>
      <w:r w:rsidRPr="005630CE">
        <w:rPr>
          <w:rFonts w:asciiTheme="minorHAnsi" w:hAnsiTheme="minorHAnsi"/>
          <w:sz w:val="18"/>
          <w:szCs w:val="18"/>
          <w:lang w:eastAsia="zh-CN"/>
        </w:rPr>
        <w:t>Czy Zamawiający w załączniku 3/3 (ZESTAWIENIE PARAMETRÓW WYMAGANYCH w zestawie urządzeń do produkcji worków do żywienia pozajelitowe) wymaga, aby zaoferowane dzierżawione urządzenie miało możliwość komponowania recepty worka żywieniowego z 24 składników jednocześnie?</w:t>
      </w:r>
    </w:p>
    <w:p w:rsidR="005630CE" w:rsidRDefault="005630CE" w:rsidP="000F5C64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  <w:u w:val="single"/>
          <w:lang w:eastAsia="zh-CN"/>
        </w:rPr>
      </w:pPr>
      <w:bookmarkStart w:id="0" w:name="_GoBack"/>
      <w:r w:rsidRPr="005630CE">
        <w:rPr>
          <w:rFonts w:asciiTheme="minorHAnsi" w:hAnsiTheme="minorHAnsi"/>
          <w:b/>
          <w:sz w:val="18"/>
          <w:szCs w:val="18"/>
          <w:u w:val="single"/>
          <w:lang w:eastAsia="zh-CN"/>
        </w:rPr>
        <w:t>Odpowiedź:</w:t>
      </w:r>
    </w:p>
    <w:p w:rsidR="000F5C64" w:rsidRPr="000F5C64" w:rsidRDefault="000F5C64" w:rsidP="000F5C64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  <w:lang w:eastAsia="zh-CN"/>
        </w:rPr>
      </w:pPr>
      <w:r w:rsidRPr="000F5C64">
        <w:rPr>
          <w:rFonts w:asciiTheme="minorHAnsi" w:hAnsiTheme="minorHAnsi"/>
          <w:b/>
          <w:sz w:val="18"/>
          <w:szCs w:val="18"/>
          <w:lang w:eastAsia="zh-CN"/>
        </w:rPr>
        <w:t>Zamawiający nie wymaga</w:t>
      </w:r>
    </w:p>
    <w:bookmarkEnd w:id="0"/>
    <w:p w:rsidR="005630CE" w:rsidRPr="005630CE" w:rsidRDefault="005630CE" w:rsidP="000F5C64">
      <w:pPr>
        <w:spacing w:after="0" w:line="240" w:lineRule="auto"/>
        <w:jc w:val="both"/>
        <w:rPr>
          <w:rFonts w:asciiTheme="minorHAnsi" w:hAnsiTheme="minorHAnsi"/>
          <w:sz w:val="18"/>
          <w:szCs w:val="18"/>
          <w:lang w:eastAsia="zh-CN"/>
        </w:rPr>
      </w:pPr>
      <w:r w:rsidRPr="005630CE">
        <w:rPr>
          <w:rFonts w:asciiTheme="minorHAnsi" w:hAnsiTheme="minorHAnsi" w:cs="Arial"/>
          <w:b/>
          <w:sz w:val="18"/>
          <w:szCs w:val="18"/>
          <w:u w:val="single"/>
        </w:rPr>
        <w:t>Pytanie nr 3</w:t>
      </w:r>
    </w:p>
    <w:p w:rsidR="005630CE" w:rsidRDefault="005630CE" w:rsidP="000F5C64">
      <w:pPr>
        <w:spacing w:after="0" w:line="240" w:lineRule="auto"/>
        <w:ind w:firstLine="720"/>
        <w:jc w:val="both"/>
        <w:rPr>
          <w:rFonts w:asciiTheme="minorHAnsi" w:hAnsiTheme="minorHAnsi"/>
          <w:sz w:val="18"/>
          <w:szCs w:val="18"/>
          <w:lang w:eastAsia="zh-CN"/>
        </w:rPr>
      </w:pPr>
      <w:r w:rsidRPr="005630CE">
        <w:rPr>
          <w:rFonts w:asciiTheme="minorHAnsi" w:hAnsiTheme="minorHAnsi"/>
          <w:sz w:val="18"/>
          <w:szCs w:val="18"/>
          <w:lang w:eastAsia="zh-CN"/>
        </w:rPr>
        <w:t>Czy Zamawiający w załączniku 3/3 (ZESTAWIENIE PARAMETRÓW WYMAGANYCH w zestawie urządzeń do produkcji worków do żywienia pozajelitowe) wymaga, aby zaoferowane urządzenie miało możliwość kontroli grawimetrycznej i wolumetrycznej przez zintegrowane z mieszalnikiem czujniki przepływu oraz wagę?</w:t>
      </w:r>
    </w:p>
    <w:p w:rsidR="005630CE" w:rsidRPr="005630CE" w:rsidRDefault="005630CE" w:rsidP="000F5C64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  <w:u w:val="single"/>
          <w:lang w:eastAsia="zh-CN"/>
        </w:rPr>
      </w:pPr>
      <w:r w:rsidRPr="005630CE">
        <w:rPr>
          <w:rFonts w:asciiTheme="minorHAnsi" w:hAnsiTheme="minorHAnsi"/>
          <w:b/>
          <w:sz w:val="18"/>
          <w:szCs w:val="18"/>
          <w:u w:val="single"/>
          <w:lang w:eastAsia="zh-CN"/>
        </w:rPr>
        <w:t>Odpowiedź:</w:t>
      </w:r>
    </w:p>
    <w:p w:rsidR="005630CE" w:rsidRPr="000F5C64" w:rsidRDefault="000F5C64" w:rsidP="000F5C64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  <w:lang w:eastAsia="zh-CN"/>
        </w:rPr>
      </w:pPr>
      <w:r w:rsidRPr="000F5C64">
        <w:rPr>
          <w:rFonts w:asciiTheme="minorHAnsi" w:hAnsiTheme="minorHAnsi"/>
          <w:b/>
          <w:sz w:val="18"/>
          <w:szCs w:val="18"/>
          <w:lang w:eastAsia="zh-CN"/>
        </w:rPr>
        <w:t>Zamawiający nie wymaga</w:t>
      </w:r>
    </w:p>
    <w:p w:rsidR="005630CE" w:rsidRPr="005630CE" w:rsidRDefault="005630CE" w:rsidP="000F5C64">
      <w:pPr>
        <w:spacing w:after="0" w:line="240" w:lineRule="auto"/>
        <w:jc w:val="both"/>
        <w:rPr>
          <w:rFonts w:asciiTheme="minorHAnsi" w:hAnsiTheme="minorHAnsi"/>
          <w:sz w:val="18"/>
          <w:szCs w:val="18"/>
          <w:lang w:eastAsia="zh-CN"/>
        </w:rPr>
      </w:pPr>
      <w:r w:rsidRPr="005630CE">
        <w:rPr>
          <w:rFonts w:asciiTheme="minorHAnsi" w:hAnsiTheme="minorHAnsi" w:cs="Arial"/>
          <w:b/>
          <w:sz w:val="18"/>
          <w:szCs w:val="18"/>
          <w:u w:val="single"/>
        </w:rPr>
        <w:t>Pytanie nr 4</w:t>
      </w:r>
    </w:p>
    <w:p w:rsidR="005630CE" w:rsidRPr="005630CE" w:rsidRDefault="005630CE" w:rsidP="000F5C64">
      <w:pPr>
        <w:spacing w:after="0" w:line="240" w:lineRule="auto"/>
        <w:ind w:firstLine="720"/>
        <w:jc w:val="both"/>
        <w:rPr>
          <w:rFonts w:asciiTheme="minorHAnsi" w:hAnsiTheme="minorHAnsi"/>
          <w:sz w:val="18"/>
          <w:szCs w:val="18"/>
          <w:lang w:eastAsia="zh-CN"/>
        </w:rPr>
      </w:pPr>
      <w:r w:rsidRPr="005630CE">
        <w:rPr>
          <w:rFonts w:asciiTheme="minorHAnsi" w:hAnsiTheme="minorHAnsi"/>
          <w:sz w:val="18"/>
          <w:szCs w:val="18"/>
          <w:lang w:eastAsia="zh-CN"/>
        </w:rPr>
        <w:t>Czy Zamawiający w załączniku 3/3 (ZESTAWIENIE PARAMETRÓW WYMAGANYCH w zestawie urządzeń do produkcji worków do żywienia pozajelitowe) wymaga, aby zaoferowane urządzenie było wyposażone w oprogramowanie starując archiwizacyjne dające możliwość drukowania raportów przygotowanych recepty żywieniowych oraz archiwizacji recept przygotowanych w pracowni żywienia?</w:t>
      </w:r>
    </w:p>
    <w:p w:rsidR="005630CE" w:rsidRDefault="005630CE" w:rsidP="000F5C64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  <w:u w:val="single"/>
          <w:lang w:eastAsia="zh-CN"/>
        </w:rPr>
      </w:pPr>
      <w:r w:rsidRPr="005630CE">
        <w:rPr>
          <w:rFonts w:asciiTheme="minorHAnsi" w:hAnsiTheme="minorHAnsi"/>
          <w:b/>
          <w:sz w:val="18"/>
          <w:szCs w:val="18"/>
          <w:u w:val="single"/>
          <w:lang w:eastAsia="zh-CN"/>
        </w:rPr>
        <w:t>Odpowiedź:</w:t>
      </w:r>
    </w:p>
    <w:p w:rsidR="000F5C64" w:rsidRPr="000F5C64" w:rsidRDefault="000F5C64" w:rsidP="000F5C64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  <w:lang w:eastAsia="zh-CN"/>
        </w:rPr>
      </w:pPr>
      <w:r w:rsidRPr="000F5C64">
        <w:rPr>
          <w:rFonts w:asciiTheme="minorHAnsi" w:hAnsiTheme="minorHAnsi"/>
          <w:b/>
          <w:sz w:val="18"/>
          <w:szCs w:val="18"/>
          <w:lang w:eastAsia="zh-CN"/>
        </w:rPr>
        <w:t>Zamawiający nie wymaga</w:t>
      </w:r>
    </w:p>
    <w:p w:rsidR="005630CE" w:rsidRPr="005630CE" w:rsidRDefault="005630CE" w:rsidP="000F5C64">
      <w:pPr>
        <w:spacing w:after="0" w:line="240" w:lineRule="auto"/>
        <w:jc w:val="both"/>
        <w:rPr>
          <w:rFonts w:asciiTheme="minorHAnsi" w:hAnsiTheme="minorHAnsi"/>
          <w:sz w:val="18"/>
          <w:szCs w:val="18"/>
          <w:lang w:eastAsia="zh-CN"/>
        </w:rPr>
      </w:pPr>
      <w:r w:rsidRPr="005630CE">
        <w:rPr>
          <w:rFonts w:asciiTheme="minorHAnsi" w:hAnsiTheme="minorHAnsi" w:cs="Arial"/>
          <w:b/>
          <w:sz w:val="18"/>
          <w:szCs w:val="18"/>
          <w:u w:val="single"/>
        </w:rPr>
        <w:t>Pytanie nr 5</w:t>
      </w:r>
    </w:p>
    <w:p w:rsidR="005630CE" w:rsidRDefault="005630CE" w:rsidP="000F5C64">
      <w:pPr>
        <w:spacing w:after="0" w:line="240" w:lineRule="auto"/>
        <w:ind w:firstLine="720"/>
        <w:jc w:val="both"/>
        <w:rPr>
          <w:rFonts w:asciiTheme="minorHAnsi" w:hAnsiTheme="minorHAnsi"/>
          <w:sz w:val="18"/>
          <w:szCs w:val="18"/>
          <w:lang w:eastAsia="zh-CN"/>
        </w:rPr>
      </w:pPr>
      <w:r w:rsidRPr="005630CE">
        <w:rPr>
          <w:rFonts w:asciiTheme="minorHAnsi" w:hAnsiTheme="minorHAnsi"/>
          <w:sz w:val="18"/>
          <w:szCs w:val="18"/>
          <w:lang w:eastAsia="zh-CN"/>
        </w:rPr>
        <w:t>W przypadku pozytywnej odpowiedzi na powyższe pytania, zwracamy się z prośba do Zamawiającego o wydzielenie do odrębnego pakietu pozycji „dzierżawa mieszalnika żywieniowego”. Takie rozwiązanie będzie pozwalało na zaoferowanie konkurencyjnego urządzenia, oraz stworzy możliwość lepszej specyfikacji wymagań technicznych zaoferowanego urządzenia.</w:t>
      </w:r>
    </w:p>
    <w:p w:rsidR="005630CE" w:rsidRDefault="005630CE" w:rsidP="000F5C64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  <w:u w:val="single"/>
          <w:lang w:eastAsia="zh-CN"/>
        </w:rPr>
      </w:pPr>
      <w:r w:rsidRPr="005630CE">
        <w:rPr>
          <w:rFonts w:asciiTheme="minorHAnsi" w:hAnsiTheme="minorHAnsi"/>
          <w:b/>
          <w:sz w:val="18"/>
          <w:szCs w:val="18"/>
          <w:u w:val="single"/>
          <w:lang w:eastAsia="zh-CN"/>
        </w:rPr>
        <w:t>Odpowiedź:</w:t>
      </w:r>
    </w:p>
    <w:p w:rsidR="000F5C64" w:rsidRPr="005630CE" w:rsidRDefault="000F5C64" w:rsidP="000F5C64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  <w:lang w:eastAsia="zh-CN"/>
        </w:rPr>
      </w:pPr>
      <w:r>
        <w:rPr>
          <w:rFonts w:asciiTheme="minorHAnsi" w:hAnsiTheme="minorHAnsi"/>
          <w:b/>
          <w:sz w:val="18"/>
          <w:szCs w:val="18"/>
          <w:lang w:eastAsia="zh-CN"/>
        </w:rPr>
        <w:t>Zamawiający podtrzymuje warunki SIWZ</w:t>
      </w:r>
    </w:p>
    <w:p w:rsidR="005630CE" w:rsidRPr="005630CE" w:rsidRDefault="005630CE" w:rsidP="00B768AD">
      <w:pPr>
        <w:pStyle w:val="Standard"/>
        <w:rPr>
          <w:rFonts w:ascii="Calibri" w:hAnsi="Calibri"/>
          <w:sz w:val="18"/>
          <w:szCs w:val="18"/>
          <w:lang w:val="pl-PL"/>
        </w:rPr>
      </w:pPr>
    </w:p>
    <w:p w:rsidR="00B768AD" w:rsidRPr="000F5C64" w:rsidRDefault="00B768AD" w:rsidP="000F5C64">
      <w:pPr>
        <w:pStyle w:val="Standard"/>
        <w:rPr>
          <w:rFonts w:ascii="Calibri" w:hAnsi="Calibri"/>
          <w:sz w:val="22"/>
          <w:szCs w:val="22"/>
          <w:lang w:val="pl-PL"/>
        </w:rPr>
      </w:pPr>
      <w:r w:rsidRPr="000F5C64">
        <w:rPr>
          <w:rFonts w:ascii="Calibri" w:hAnsi="Calibri"/>
          <w:sz w:val="22"/>
          <w:szCs w:val="22"/>
          <w:lang w:val="pl-PL"/>
        </w:rPr>
        <w:t>Zamawiający zmienia termin składania ofert:</w:t>
      </w:r>
    </w:p>
    <w:p w:rsidR="00B768AD" w:rsidRDefault="00B768AD" w:rsidP="00B768AD">
      <w:pPr>
        <w:spacing w:after="0" w:line="240" w:lineRule="auto"/>
        <w:jc w:val="both"/>
        <w:rPr>
          <w:rFonts w:cs="Tahoma"/>
          <w:b/>
          <w:sz w:val="19"/>
          <w:szCs w:val="19"/>
          <w:u w:val="single"/>
        </w:rPr>
      </w:pPr>
      <w:r>
        <w:rPr>
          <w:rFonts w:cs="Tahoma"/>
          <w:b/>
          <w:sz w:val="19"/>
          <w:szCs w:val="19"/>
          <w:u w:val="single"/>
        </w:rPr>
        <w:t>Now</w:t>
      </w:r>
      <w:r w:rsidR="007F06C0">
        <w:rPr>
          <w:rFonts w:cs="Tahoma"/>
          <w:b/>
          <w:sz w:val="19"/>
          <w:szCs w:val="19"/>
          <w:u w:val="single"/>
        </w:rPr>
        <w:t>y termin składania ofert: 20.11</w:t>
      </w:r>
      <w:r>
        <w:rPr>
          <w:rFonts w:cs="Tahoma"/>
          <w:b/>
          <w:sz w:val="19"/>
          <w:szCs w:val="19"/>
          <w:u w:val="single"/>
        </w:rPr>
        <w:t>.2015r  do godz.10:45</w:t>
      </w:r>
    </w:p>
    <w:p w:rsidR="00B768AD" w:rsidRDefault="00B768AD" w:rsidP="00B768AD">
      <w:pPr>
        <w:spacing w:after="0" w:line="240" w:lineRule="auto"/>
        <w:jc w:val="both"/>
        <w:rPr>
          <w:rFonts w:cs="Tahoma"/>
          <w:b/>
          <w:sz w:val="19"/>
          <w:szCs w:val="19"/>
          <w:u w:val="single"/>
        </w:rPr>
      </w:pPr>
      <w:r>
        <w:rPr>
          <w:rFonts w:cs="Tahoma"/>
          <w:b/>
          <w:sz w:val="19"/>
          <w:szCs w:val="19"/>
          <w:u w:val="single"/>
        </w:rPr>
        <w:t xml:space="preserve">Otwarcie  </w:t>
      </w:r>
      <w:r w:rsidR="007F06C0">
        <w:rPr>
          <w:rFonts w:cs="Tahoma"/>
          <w:b/>
          <w:sz w:val="19"/>
          <w:szCs w:val="19"/>
          <w:u w:val="single"/>
        </w:rPr>
        <w:t>ofert: 20.11</w:t>
      </w:r>
      <w:r>
        <w:rPr>
          <w:rFonts w:cs="Tahoma"/>
          <w:b/>
          <w:sz w:val="19"/>
          <w:szCs w:val="19"/>
          <w:u w:val="single"/>
        </w:rPr>
        <w:t>.2015r  do godz.11:00</w:t>
      </w:r>
    </w:p>
    <w:p w:rsidR="00B768AD" w:rsidRDefault="00B768AD" w:rsidP="00B768AD">
      <w:pPr>
        <w:spacing w:after="0" w:line="240" w:lineRule="auto"/>
        <w:jc w:val="both"/>
        <w:rPr>
          <w:rFonts w:cs="Tahoma"/>
          <w:b/>
          <w:sz w:val="19"/>
          <w:szCs w:val="19"/>
          <w:u w:val="single"/>
        </w:rPr>
      </w:pPr>
    </w:p>
    <w:p w:rsidR="00B768AD" w:rsidRDefault="00B768AD" w:rsidP="00B768AD">
      <w:pPr>
        <w:pStyle w:val="Standard"/>
        <w:rPr>
          <w:rFonts w:ascii="Calibri" w:hAnsi="Calibri"/>
          <w:sz w:val="19"/>
          <w:szCs w:val="19"/>
          <w:lang w:val="pl-PL"/>
        </w:rPr>
      </w:pPr>
      <w:r>
        <w:rPr>
          <w:rFonts w:ascii="Calibri" w:hAnsi="Calibri"/>
          <w:sz w:val="19"/>
          <w:szCs w:val="19"/>
          <w:lang w:val="pl-PL"/>
        </w:rPr>
        <w:t>Pozostałe zapisy SIWZ pozostają bez zmian.</w:t>
      </w:r>
    </w:p>
    <w:p w:rsidR="00B768AD" w:rsidRDefault="00B768AD" w:rsidP="000F5C64">
      <w:pPr>
        <w:jc w:val="both"/>
        <w:rPr>
          <w:rFonts w:eastAsia="MS Mincho" w:cs="Tahoma"/>
          <w:sz w:val="19"/>
          <w:szCs w:val="19"/>
          <w:u w:val="single"/>
        </w:rPr>
      </w:pPr>
      <w:r>
        <w:rPr>
          <w:rFonts w:cs="Tahoma"/>
          <w:sz w:val="19"/>
          <w:szCs w:val="19"/>
        </w:rPr>
        <w:t xml:space="preserve">Niniejsze pismo zostaje zamieszczone na stronie internetowej </w:t>
      </w:r>
      <w:r>
        <w:rPr>
          <w:rFonts w:eastAsia="MS Mincho" w:cs="Tahoma"/>
          <w:sz w:val="19"/>
          <w:szCs w:val="19"/>
          <w:u w:val="single"/>
        </w:rPr>
        <w:t>bip.usdk.pl</w:t>
      </w:r>
    </w:p>
    <w:p w:rsidR="000F5C64" w:rsidRPr="000F5C64" w:rsidRDefault="000F5C64" w:rsidP="000F5C64">
      <w:pPr>
        <w:jc w:val="both"/>
        <w:rPr>
          <w:rFonts w:cs="Tahoma"/>
          <w:sz w:val="19"/>
          <w:szCs w:val="19"/>
          <w:u w:val="single"/>
          <w:lang w:eastAsia="pl-PL"/>
        </w:rPr>
      </w:pPr>
    </w:p>
    <w:p w:rsidR="00B768AD" w:rsidRDefault="00B768AD" w:rsidP="00B768AD">
      <w:pPr>
        <w:pStyle w:val="Standard"/>
        <w:rPr>
          <w:rFonts w:ascii="Calibri" w:hAnsi="Calibri"/>
          <w:sz w:val="18"/>
          <w:szCs w:val="18"/>
          <w:lang w:val="pl-PL"/>
        </w:rPr>
      </w:pPr>
    </w:p>
    <w:p w:rsidR="00B768AD" w:rsidRDefault="005630CE" w:rsidP="00B768AD">
      <w:pPr>
        <w:spacing w:after="0" w:line="240" w:lineRule="auto"/>
        <w:ind w:left="567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Z-ca </w:t>
      </w:r>
      <w:r w:rsidR="00B768AD">
        <w:rPr>
          <w:rFonts w:cs="Arial"/>
          <w:sz w:val="18"/>
          <w:szCs w:val="18"/>
        </w:rPr>
        <w:t xml:space="preserve"> Dyrektora ds. Lecznictwa </w:t>
      </w:r>
    </w:p>
    <w:p w:rsidR="00B768AD" w:rsidRDefault="005630CE" w:rsidP="00B768AD">
      <w:p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Lek. </w:t>
      </w:r>
      <w:r w:rsidR="000F5C64">
        <w:rPr>
          <w:rFonts w:cs="Arial"/>
          <w:sz w:val="18"/>
          <w:szCs w:val="18"/>
        </w:rPr>
        <w:t xml:space="preserve">med. Andrzej Bałaga </w:t>
      </w:r>
    </w:p>
    <w:p w:rsidR="00B768AD" w:rsidRDefault="00B768AD" w:rsidP="00B768AD">
      <w:pPr>
        <w:pStyle w:val="Standard"/>
        <w:rPr>
          <w:rFonts w:ascii="Calibri" w:hAnsi="Calibri"/>
          <w:sz w:val="18"/>
          <w:szCs w:val="18"/>
          <w:lang w:val="pl-PL"/>
        </w:rPr>
      </w:pPr>
    </w:p>
    <w:p w:rsidR="006C63EE" w:rsidRDefault="006C63EE"/>
    <w:sectPr w:rsidR="006C63EE" w:rsidSect="000F5C6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AD"/>
    <w:rsid w:val="000F5C64"/>
    <w:rsid w:val="002C2C04"/>
    <w:rsid w:val="005630CE"/>
    <w:rsid w:val="006C63EE"/>
    <w:rsid w:val="007F06C0"/>
    <w:rsid w:val="00B768AD"/>
    <w:rsid w:val="00D95BA0"/>
    <w:rsid w:val="00E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14F33-3DEE-4432-A7FC-8ABA6360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8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768AD"/>
    <w:pPr>
      <w:suppressAutoHyphens/>
      <w:spacing w:after="0" w:line="240" w:lineRule="auto"/>
    </w:pPr>
    <w:rPr>
      <w:rFonts w:ascii="Times New Roman" w:eastAsia="MS Mincho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68AD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768A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8AD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5630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2</cp:revision>
  <cp:lastPrinted>2015-11-13T09:04:00Z</cp:lastPrinted>
  <dcterms:created xsi:type="dcterms:W3CDTF">2015-11-13T09:04:00Z</dcterms:created>
  <dcterms:modified xsi:type="dcterms:W3CDTF">2015-11-13T09:04:00Z</dcterms:modified>
</cp:coreProperties>
</file>