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D" w:rsidRDefault="00294F0D" w:rsidP="00294F0D">
      <w:pPr>
        <w:spacing w:after="0" w:line="240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Załącznik 3/1</w:t>
      </w:r>
    </w:p>
    <w:p w:rsidR="00294F0D" w:rsidRDefault="00294F0D" w:rsidP="00294F0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pStyle w:val="Standard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WYMAGANE PARAMETRY I WARUNKI USŁUG SERWISOWYCH - USŁUGI SERWISOWE NA SYSTEMU CLININET/STER DLA UNIWERSYTECKIEGO SZPITALA DZIECIĘCEGO W KRAKOWIE</w:t>
      </w:r>
    </w:p>
    <w:p w:rsidR="00294F0D" w:rsidRDefault="00294F0D" w:rsidP="00294F0D">
      <w:pPr>
        <w:pStyle w:val="Standard"/>
        <w:jc w:val="center"/>
        <w:rPr>
          <w:sz w:val="16"/>
          <w:szCs w:val="16"/>
          <w:lang w:val="pl-PL"/>
        </w:rPr>
      </w:pPr>
    </w:p>
    <w:tbl>
      <w:tblPr>
        <w:tblW w:w="9615" w:type="dxa"/>
        <w:tblInd w:w="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5602"/>
        <w:gridCol w:w="1120"/>
        <w:gridCol w:w="2252"/>
      </w:tblGrid>
      <w:tr w:rsidR="00294F0D" w:rsidTr="00294F0D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Opis czynności serwisowych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Wymagany parametr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Oferowany parametr</w:t>
            </w: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Modyfikacje produktu spowodowane zmieniającymi się przepisami ogólnymi, rozporządzeniami, ustawami, obowiązującymi wykładniami prawnymi lub wskazówkami jednostek nadrzędnych (np. Narodowy Fundusz Zdrowia, Ministerstwo Zdrowia, Samorządowy Wydział Zdrowia i inne)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Aktualizacja produktu; </w:t>
            </w:r>
            <w:proofErr w:type="spellStart"/>
            <w:r>
              <w:rPr>
                <w:sz w:val="16"/>
                <w:szCs w:val="16"/>
                <w:lang w:val="pl-PL"/>
              </w:rPr>
              <w:t>upgrade</w:t>
            </w:r>
            <w:proofErr w:type="spellEnd"/>
            <w:r>
              <w:rPr>
                <w:sz w:val="16"/>
                <w:szCs w:val="16"/>
                <w:lang w:val="pl-PL"/>
              </w:rPr>
              <w:t>/</w:t>
            </w:r>
            <w:proofErr w:type="spellStart"/>
            <w:r>
              <w:rPr>
                <w:sz w:val="16"/>
                <w:szCs w:val="16"/>
                <w:lang w:val="pl-PL"/>
              </w:rPr>
              <w:t>update</w:t>
            </w:r>
            <w:proofErr w:type="spellEnd"/>
            <w:r>
              <w:rPr>
                <w:sz w:val="16"/>
                <w:szCs w:val="16"/>
                <w:lang w:val="pl-PL"/>
              </w:rPr>
              <w:t>/ konserwacja w zakresie niezbędnym do naprawy błędów gwarancyjnych w tym bazy danych produktu.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Udostępniania nowych wersji Programu, wynikających z naturalnego rozwoju: nowych opcji i funkcji, nowych narzędzi programistycznych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Zgłaszanie błędów poprzez system serwisowy (elektroniczne zgłaszanie błędów, 7 dni w tygodniu, 24 godziny na dobę 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Zgłaszanie błędów telefonicznie ( 7 dni w tygodniu, 24 godziny na dobę 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Dostęp do dedykowanego stanowiska pomocy </w:t>
            </w:r>
            <w:proofErr w:type="spellStart"/>
            <w:r>
              <w:rPr>
                <w:sz w:val="16"/>
                <w:szCs w:val="16"/>
                <w:lang w:val="pl-PL"/>
              </w:rPr>
              <w:t>HelpDesk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 (7 dni w tygodniu, 24 godziny na dobę),  bez limitu godzin z możliwym jednoczesnym połączeniem zdalnym, mającym na celu rozwiązanie problemów eksploatacyjnych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Minimalnie 4 osoby upoważnionych do zgłaszania błędów ze strony zleceniodawcy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Telefoniczne konsultacje w zakresie obsługi produktu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Pr="007C0097" w:rsidRDefault="00294F0D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Gwarantowany czas reakcji na błędy krytyczne, czyli:</w:t>
            </w:r>
          </w:p>
          <w:p w:rsidR="00294F0D" w:rsidRPr="007C0097" w:rsidRDefault="0005528A" w:rsidP="0005528A">
            <w:pPr>
              <w:pStyle w:val="Akapitzlist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34"/>
              <w:contextualSpacing/>
              <w:rPr>
                <w:rFonts w:asciiTheme="minorHAnsi" w:hAnsiTheme="minorHAnsi" w:cs="Calibri"/>
                <w:sz w:val="16"/>
                <w:szCs w:val="16"/>
                <w:lang w:val="pl-PL" w:eastAsia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- niedziałająca usługa </w:t>
            </w:r>
            <w:r w:rsidRPr="007C0097">
              <w:rPr>
                <w:rFonts w:asciiTheme="minorHAnsi" w:hAnsiTheme="minorHAnsi" w:cs="Calibri"/>
                <w:sz w:val="16"/>
                <w:szCs w:val="16"/>
                <w:lang w:val="pl-PL" w:eastAsia="pl-PL"/>
              </w:rPr>
              <w:t>– dotyczy braku możliwości korzystania z Funkcji Podstawowych”</w:t>
            </w:r>
          </w:p>
          <w:p w:rsidR="00294F0D" w:rsidRPr="007C0097" w:rsidRDefault="00294F0D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- zagrożenie utraty danych,</w:t>
            </w:r>
          </w:p>
          <w:p w:rsidR="0005528A" w:rsidRPr="007C0097" w:rsidRDefault="00294F0D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- błąd systemu uniemożliwiający pracę</w:t>
            </w:r>
            <w:r w:rsidR="0005528A" w:rsidRPr="007C0097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 w systemie </w:t>
            </w: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lub blokujący wszystkie </w:t>
            </w:r>
            <w:r w:rsidR="0005528A" w:rsidRPr="007C0097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</w:t>
            </w: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funkcjonalności systemu</w:t>
            </w:r>
          </w:p>
          <w:p w:rsidR="00294F0D" w:rsidRPr="007C0097" w:rsidRDefault="00294F0D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- usterka blokująca ruch chorych – uniemożliwiająca zewidencjonowanie pacjenta przyjmowanego do szpitala oraz nadanie mu prawidłowego numeru księgi głównej i oddziałowej</w:t>
            </w:r>
          </w:p>
          <w:p w:rsidR="00294F0D" w:rsidRPr="007C0097" w:rsidRDefault="00294F0D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- usterka uniemożliwiająca zakodowanie hospitalizacji i sprawozdanie jej do NFZ w wersji elektronicznej zgodnie z obowiązującymi przepisami,</w:t>
            </w:r>
          </w:p>
          <w:p w:rsidR="00294F0D" w:rsidRPr="007C0097" w:rsidRDefault="00294F0D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- usterka uniemożliwiająca rozliczenie hospitalizacji,</w:t>
            </w:r>
          </w:p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 w:rsidRPr="007C0097">
              <w:rPr>
                <w:rFonts w:asciiTheme="minorHAnsi" w:hAnsiTheme="minorHAnsi"/>
                <w:sz w:val="16"/>
                <w:szCs w:val="16"/>
                <w:lang w:val="pl-PL"/>
              </w:rPr>
              <w:t>- usterka uniemożliwiająca wystawianie w wersji elektronicznej i papierowej prawidłowej faktury do NFZ za udzielone świadczenia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max 4h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Gwarantowany czas naprawy błędów krytycznych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8h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Gwarantowany czas reakcji na usterki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8h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Gwarantowany czas naprawy usterki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ind w:left="-7" w:right="-5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max.7 dni roboczych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 w:rsidP="00055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Aktualizacja narzędzi administratora</w:t>
            </w:r>
            <w:r w:rsidR="0005528A">
              <w:rPr>
                <w:sz w:val="16"/>
                <w:szCs w:val="16"/>
              </w:rPr>
              <w:t xml:space="preserve"> systemu </w:t>
            </w:r>
            <w:proofErr w:type="spellStart"/>
            <w:r w:rsidR="0005528A" w:rsidRPr="006467FC">
              <w:rPr>
                <w:sz w:val="16"/>
                <w:szCs w:val="16"/>
              </w:rPr>
              <w:t>CliniNet</w:t>
            </w:r>
            <w:proofErr w:type="spellEnd"/>
            <w:r w:rsidR="0005528A" w:rsidRPr="006467FC">
              <w:rPr>
                <w:sz w:val="16"/>
                <w:szCs w:val="16"/>
              </w:rPr>
              <w:t xml:space="preserve"> i Ster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Aktualizacja i przekazywanie instrukcji do modułów programu w wersji elektronicznej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Doradztwo w zakresie rozbudowy systemu o kolejne moduły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Gotowość przyjmowania i rozpatrywania indywidualnych żądań zmian (tj. modyfikacji płatnych) produktu.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Możliwość zgłoszenia uwag i propozycji modyfikacji produktu, które będą uwzględniane w najbliższych planach rozwojowych produktu, za pomocą systemu serwisowego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rPr>
          <w:trHeight w:val="336"/>
        </w:trPr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Utrzymanie systemu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NedRad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aktualnej wersji w celach archiwizacji danych z systemu planowania (format DICOM).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94F0D" w:rsidRDefault="00294F0D" w:rsidP="00294F0D">
      <w:pPr>
        <w:pStyle w:val="Standard"/>
        <w:rPr>
          <w:sz w:val="16"/>
          <w:szCs w:val="16"/>
          <w:lang w:val="pl-PL"/>
        </w:rPr>
      </w:pPr>
    </w:p>
    <w:p w:rsidR="00294F0D" w:rsidRDefault="00294F0D" w:rsidP="00294F0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>…………………</w:t>
      </w:r>
      <w:r>
        <w:rPr>
          <w:rFonts w:cs="Arial"/>
          <w:sz w:val="16"/>
          <w:szCs w:val="16"/>
        </w:rPr>
        <w:t>., dnia ………………………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………………………………………………………… </w:t>
      </w:r>
    </w:p>
    <w:p w:rsidR="00294F0D" w:rsidRPr="007C0097" w:rsidRDefault="00294F0D" w:rsidP="007C0097">
      <w:pPr>
        <w:pStyle w:val="Tekstpodstawowy"/>
        <w:ind w:left="3402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 xml:space="preserve">(podpis osoby upoważnionej 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do reprezentowania Wykonawcy)</w:t>
      </w:r>
    </w:p>
    <w:p w:rsidR="00294F0D" w:rsidRDefault="00294F0D" w:rsidP="00294F0D">
      <w:pPr>
        <w:pStyle w:val="Standard"/>
        <w:pageBreakBefore/>
        <w:rPr>
          <w:sz w:val="16"/>
          <w:szCs w:val="16"/>
          <w:lang w:val="pl-PL"/>
        </w:rPr>
      </w:pPr>
    </w:p>
    <w:p w:rsidR="00294F0D" w:rsidRDefault="00294F0D" w:rsidP="00294F0D">
      <w:pPr>
        <w:pStyle w:val="Standard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TABELA USŁUG DODATKOWYCH</w:t>
      </w:r>
    </w:p>
    <w:p w:rsidR="00294F0D" w:rsidRDefault="00294F0D" w:rsidP="00294F0D">
      <w:pPr>
        <w:pStyle w:val="Standard"/>
        <w:rPr>
          <w:sz w:val="16"/>
          <w:szCs w:val="16"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5792"/>
        <w:gridCol w:w="1120"/>
        <w:gridCol w:w="2253"/>
      </w:tblGrid>
      <w:tr w:rsidR="00294F0D" w:rsidTr="00294F0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Opis czynności serwisowych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Wymagany parametr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Oferowany parametr</w:t>
            </w: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Pakiet godzin  na dodatkowe usługi serwisowe(tabela usług dodatkowych)  zawarte w opłacie podstawowej (pakiet odnawialny co miesiąc)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min. 15H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Cena netto osobogodziny dodatkowych usług serwisowych wymienionych w tabeli usług dodatkowych poza pakietem godzin w pakiecie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150,00 zł netto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Możliwość uczestnictwa w szkoleniach </w:t>
            </w:r>
            <w:proofErr w:type="spellStart"/>
            <w:r>
              <w:rPr>
                <w:sz w:val="16"/>
                <w:szCs w:val="16"/>
                <w:lang w:val="pl-PL"/>
              </w:rPr>
              <w:t>in-company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organizowanych w siedzibie wykonującego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Konsultacje z zakresu mechanizmów bezpieczeństwa (kopie bezpieczeństwa, odzyskiwanie danych z kopii zapasowych)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Asysta przy rozliczeniach z NFZ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Konsultacje w zakresie optymalnego wykorzystania oraz dostosowania produktu do potrzeb Zamawiającego oraz wszelkich zmian definiowalnych elementów produktu. Konsultacje obejmują wszystkie moduły i funkcje wdrożone u Zamawiającego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Pomoc w przygotowaniu danych przekazywanych przez Zamawiającego do jednostek nadrzędnych i współpracujących (np. do Narodowego Funduszu Zdrowia, Wydziału Zdrowia odpowiedniego Urzędu, banków itp.) w formie elektronicznej (np. CD, łącza telekomunikacyjne, </w:t>
            </w:r>
            <w:proofErr w:type="spellStart"/>
            <w:r>
              <w:rPr>
                <w:sz w:val="16"/>
                <w:szCs w:val="16"/>
                <w:lang w:val="pl-PL"/>
              </w:rPr>
              <w:t>itp</w:t>
            </w:r>
            <w:proofErr w:type="spellEnd"/>
            <w:r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Konsultacje w zakresie administrowania środowiskiem </w:t>
            </w:r>
            <w:proofErr w:type="spellStart"/>
            <w:r>
              <w:rPr>
                <w:sz w:val="16"/>
                <w:szCs w:val="16"/>
                <w:lang w:val="pl-PL"/>
              </w:rPr>
              <w:t>VMware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Usunięcie awarii produktu, powstałej z winy Zamawiającego lub wskutek wypadków losowych.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Optymalizacja produktu uwzględniająca potrzeby Zamawiającego (aplikacja, baza danych, system operacyjny)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Konfiguracja systemu </w:t>
            </w:r>
            <w:proofErr w:type="spellStart"/>
            <w:r>
              <w:rPr>
                <w:sz w:val="16"/>
                <w:szCs w:val="16"/>
                <w:lang w:val="pl-PL"/>
              </w:rPr>
              <w:t>VMWare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(pod warunkiem wykupienia przez Zamawiającego wsparcia producenta i praw do aktualizacji produktu)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Pomoc w awaryjnym odtwarzaniu lub przenoszeniu danych na wniosek Zamawiającego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Szkolenia w siedzibie Zamawiającego i dodatkowe konsultacje z zakresu oprogramowania </w:t>
            </w:r>
            <w:proofErr w:type="spellStart"/>
            <w:r>
              <w:rPr>
                <w:sz w:val="16"/>
                <w:szCs w:val="16"/>
                <w:lang w:val="pl-PL"/>
              </w:rPr>
              <w:t>CliniNet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i jego modułów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Szkolenia w siedzibie Zamawiającego i dodatkowe konsultacje z zakresu baz danych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Inne szkolenia w siedzibie Zamawiającego i dodatkowe konsultacje z zakresu ustalonego z Zamawiającym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Inne prace ustalone uzgodnione każdorazowo przez strony (np. stworzenie nowych raportów przy pomocy dostępnych w Produkcie narzędzi, szkolenia użytkowników).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94F0D" w:rsidTr="00294F0D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5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  <w:r>
              <w:rPr>
                <w:rFonts w:eastAsia="ArialMT" w:cs="ArialMT"/>
                <w:sz w:val="16"/>
                <w:szCs w:val="16"/>
                <w:lang w:val="pl-PL"/>
              </w:rPr>
              <w:t>Zamawiaj</w:t>
            </w:r>
            <w:r>
              <w:rPr>
                <w:rFonts w:eastAsia="LucidaGrande" w:cs="LucidaGrande"/>
                <w:sz w:val="16"/>
                <w:szCs w:val="16"/>
                <w:lang w:val="pl-PL"/>
              </w:rPr>
              <w:t>ą</w:t>
            </w:r>
            <w:r>
              <w:rPr>
                <w:rFonts w:eastAsia="ArialMT" w:cs="ArialMT"/>
                <w:sz w:val="16"/>
                <w:szCs w:val="16"/>
                <w:lang w:val="pl-PL"/>
              </w:rPr>
              <w:t>cy mo</w:t>
            </w:r>
            <w:r>
              <w:rPr>
                <w:rFonts w:eastAsia="LucidaGrande" w:cs="LucidaGrande"/>
                <w:sz w:val="16"/>
                <w:szCs w:val="16"/>
                <w:lang w:val="pl-PL"/>
              </w:rPr>
              <w:t>ż</w:t>
            </w:r>
            <w:r>
              <w:rPr>
                <w:rFonts w:eastAsia="ArialMT" w:cs="ArialMT"/>
                <w:sz w:val="16"/>
                <w:szCs w:val="16"/>
                <w:lang w:val="pl-PL"/>
              </w:rPr>
              <w:t>e zleca</w:t>
            </w:r>
            <w:r>
              <w:rPr>
                <w:rFonts w:eastAsia="LucidaGrande" w:cs="LucidaGrande"/>
                <w:sz w:val="16"/>
                <w:szCs w:val="16"/>
                <w:lang w:val="pl-PL"/>
              </w:rPr>
              <w:t>ć</w:t>
            </w:r>
            <w:r>
              <w:rPr>
                <w:rFonts w:eastAsia="ArialMT" w:cs="ArialMT"/>
                <w:sz w:val="16"/>
                <w:szCs w:val="16"/>
                <w:lang w:val="pl-PL"/>
              </w:rPr>
              <w:t xml:space="preserve"> pisemnie us</w:t>
            </w:r>
            <w:r>
              <w:rPr>
                <w:rFonts w:eastAsia="LucidaGrande" w:cs="LucidaGrande"/>
                <w:sz w:val="16"/>
                <w:szCs w:val="16"/>
                <w:lang w:val="pl-PL"/>
              </w:rPr>
              <w:t>ł</w:t>
            </w:r>
            <w:r>
              <w:rPr>
                <w:rFonts w:eastAsia="ArialMT" w:cs="ArialMT"/>
                <w:sz w:val="16"/>
                <w:szCs w:val="16"/>
                <w:lang w:val="pl-PL"/>
              </w:rPr>
              <w:t>ugi dodatkowe, za odr</w:t>
            </w:r>
            <w:r>
              <w:rPr>
                <w:rFonts w:eastAsia="LucidaGrande" w:cs="LucidaGrande"/>
                <w:sz w:val="16"/>
                <w:szCs w:val="16"/>
                <w:lang w:val="pl-PL"/>
              </w:rPr>
              <w:t>ę</w:t>
            </w:r>
            <w:r>
              <w:rPr>
                <w:rFonts w:eastAsia="ArialMT" w:cs="ArialMT"/>
                <w:sz w:val="16"/>
                <w:szCs w:val="16"/>
                <w:lang w:val="pl-PL"/>
              </w:rPr>
              <w:t>bnym wynagrodzeniem.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D" w:rsidRDefault="00294F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94F0D" w:rsidRDefault="00294F0D" w:rsidP="00294F0D">
      <w:pPr>
        <w:pStyle w:val="Standard"/>
        <w:rPr>
          <w:sz w:val="16"/>
          <w:szCs w:val="16"/>
          <w:lang w:val="pl-PL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>…………………</w:t>
      </w:r>
      <w:r>
        <w:rPr>
          <w:rFonts w:cs="Arial"/>
          <w:sz w:val="16"/>
          <w:szCs w:val="16"/>
        </w:rPr>
        <w:t>., dnia ………………………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………………………………………………………… </w:t>
      </w:r>
    </w:p>
    <w:p w:rsidR="00294F0D" w:rsidRDefault="00294F0D" w:rsidP="00294F0D">
      <w:pPr>
        <w:pStyle w:val="Tekstpodstawowy"/>
        <w:ind w:left="3402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 xml:space="preserve">(podpis osoby upoważnionej 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do reprezentowania Wykonawcy)</w:t>
      </w: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94F0D" w:rsidRDefault="00294F0D" w:rsidP="00294F0D">
      <w:pPr>
        <w:widowControl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4910C1" w:rsidRDefault="004910C1"/>
    <w:sectPr w:rsidR="004910C1" w:rsidSect="0049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Grande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2FC"/>
    <w:multiLevelType w:val="hybridMultilevel"/>
    <w:tmpl w:val="28AE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4F0D"/>
    <w:rsid w:val="00030294"/>
    <w:rsid w:val="0005528A"/>
    <w:rsid w:val="00294F0D"/>
    <w:rsid w:val="0031330C"/>
    <w:rsid w:val="004910C1"/>
    <w:rsid w:val="00576888"/>
    <w:rsid w:val="006467FC"/>
    <w:rsid w:val="007C0097"/>
    <w:rsid w:val="008D2798"/>
    <w:rsid w:val="00A821C4"/>
    <w:rsid w:val="00C0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0D"/>
    <w:pPr>
      <w:suppressAutoHyphens/>
      <w:spacing w:before="0" w:beforeAutospacing="0" w:after="200" w:afterAutospacing="0" w:line="276" w:lineRule="auto"/>
      <w:ind w:left="0"/>
      <w:jc w:val="left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D2798"/>
    <w:pPr>
      <w:keepNext/>
      <w:suppressAutoHyphens w:val="0"/>
      <w:spacing w:before="100" w:beforeAutospacing="1" w:after="100" w:afterAutospacing="1" w:line="240" w:lineRule="auto"/>
      <w:ind w:left="357"/>
      <w:jc w:val="both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798"/>
    <w:pPr>
      <w:keepNext/>
      <w:suppressAutoHyphens w:val="0"/>
      <w:spacing w:before="100" w:beforeAutospacing="1" w:after="100" w:afterAutospacing="1" w:line="240" w:lineRule="auto"/>
      <w:ind w:left="357"/>
      <w:jc w:val="center"/>
      <w:outlineLvl w:val="1"/>
    </w:pPr>
    <w:rPr>
      <w:rFonts w:ascii="Courier New" w:eastAsia="Times New Roman" w:hAnsi="Courier New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2798"/>
    <w:pPr>
      <w:keepNext/>
      <w:suppressAutoHyphens w:val="0"/>
      <w:spacing w:before="100" w:beforeAutospacing="1" w:after="100" w:afterAutospacing="1" w:line="240" w:lineRule="auto"/>
      <w:ind w:left="357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D2798"/>
    <w:pPr>
      <w:keepNext/>
      <w:suppressAutoHyphens w:val="0"/>
      <w:spacing w:before="100" w:beforeAutospacing="1" w:after="100" w:afterAutospacing="1" w:line="240" w:lineRule="auto"/>
      <w:ind w:left="357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79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8D2798"/>
    <w:rPr>
      <w:rFonts w:ascii="Courier New" w:hAnsi="Courier New"/>
      <w:sz w:val="24"/>
    </w:rPr>
  </w:style>
  <w:style w:type="character" w:customStyle="1" w:styleId="Nagwek3Znak">
    <w:name w:val="Nagłówek 3 Znak"/>
    <w:basedOn w:val="Domylnaczcionkaakapitu"/>
    <w:link w:val="Nagwek3"/>
    <w:rsid w:val="008D2798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8D2798"/>
    <w:rPr>
      <w:rFonts w:ascii="Tahoma" w:hAnsi="Tahoma"/>
      <w:b/>
    </w:rPr>
  </w:style>
  <w:style w:type="paragraph" w:styleId="Tekstpodstawowy">
    <w:name w:val="Body Text"/>
    <w:basedOn w:val="Normalny"/>
    <w:link w:val="TekstpodstawowyZnak"/>
    <w:unhideWhenUsed/>
    <w:rsid w:val="00294F0D"/>
    <w:pPr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4F0D"/>
    <w:rPr>
      <w:rFonts w:ascii="Tahoma" w:hAnsi="Tahoma" w:cs="Tahoma"/>
      <w:sz w:val="24"/>
      <w:lang w:eastAsia="zh-CN"/>
    </w:rPr>
  </w:style>
  <w:style w:type="paragraph" w:customStyle="1" w:styleId="Standard">
    <w:name w:val="Standard"/>
    <w:rsid w:val="00294F0D"/>
    <w:pPr>
      <w:suppressAutoHyphens/>
      <w:spacing w:before="0" w:beforeAutospacing="0" w:after="0" w:afterAutospacing="0"/>
      <w:ind w:left="0"/>
      <w:jc w:val="left"/>
    </w:pPr>
    <w:rPr>
      <w:rFonts w:ascii="Calibri" w:hAnsi="Calibri"/>
      <w:kern w:val="2"/>
      <w:sz w:val="22"/>
      <w:szCs w:val="22"/>
      <w:lang w:val="de-DE" w:eastAsia="zh-CN"/>
    </w:rPr>
  </w:style>
  <w:style w:type="paragraph" w:customStyle="1" w:styleId="TableContents">
    <w:name w:val="Table Contents"/>
    <w:basedOn w:val="Standard"/>
    <w:rsid w:val="00294F0D"/>
    <w:pPr>
      <w:widowControl w:val="0"/>
      <w:suppressLineNumbers/>
    </w:pPr>
    <w:rPr>
      <w:rFonts w:ascii="Times New Roman" w:eastAsia="Arial Unicode MS" w:hAnsi="Times New Roman" w:cs="Arial Unicode MS"/>
      <w:sz w:val="24"/>
      <w:szCs w:val="24"/>
      <w:lang w:val="pl-PL" w:bidi="hi-IN"/>
    </w:rPr>
  </w:style>
  <w:style w:type="paragraph" w:styleId="Akapitzlist">
    <w:name w:val="List Paragraph"/>
    <w:basedOn w:val="Normalny"/>
    <w:uiPriority w:val="99"/>
    <w:qFormat/>
    <w:rsid w:val="0005528A"/>
    <w:pPr>
      <w:tabs>
        <w:tab w:val="left" w:pos="709"/>
      </w:tabs>
    </w:pPr>
    <w:rPr>
      <w:rFonts w:ascii="Cambria" w:eastAsia="DejaVu Sans" w:hAnsi="Cambria"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2013-08-08T08:46:00Z</dcterms:created>
  <dcterms:modified xsi:type="dcterms:W3CDTF">2013-08-08T09:08:00Z</dcterms:modified>
</cp:coreProperties>
</file>